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E724AD">
      <w:pPr>
        <w:widowControl w:val="0"/>
        <w:spacing w:after="156" w:afterLines="50"/>
        <w:ind w:firstLine="0" w:firstLineChars="0"/>
        <w:rPr>
          <w:rFonts w:cs="Times New Roman"/>
          <w:b/>
          <w:sz w:val="44"/>
          <w:szCs w:val="44"/>
        </w:rPr>
      </w:pPr>
      <w:r>
        <w:rPr>
          <w:rFonts w:cs="Times New Roman"/>
        </w:rPr>
        <w:drawing>
          <wp:anchor distT="0" distB="0" distL="114300" distR="114300" simplePos="0" relativeHeight="251659264" behindDoc="0" locked="0" layoutInCell="1" allowOverlap="1">
            <wp:simplePos x="0" y="0"/>
            <wp:positionH relativeFrom="column">
              <wp:posOffset>-204470</wp:posOffset>
            </wp:positionH>
            <wp:positionV relativeFrom="paragraph">
              <wp:posOffset>-217170</wp:posOffset>
            </wp:positionV>
            <wp:extent cx="2190115" cy="748665"/>
            <wp:effectExtent l="0" t="0" r="635" b="1333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2190115" cy="748665"/>
                    </a:xfrm>
                    <a:prstGeom prst="rect">
                      <a:avLst/>
                    </a:prstGeom>
                    <a:noFill/>
                    <a:ln>
                      <a:noFill/>
                    </a:ln>
                  </pic:spPr>
                </pic:pic>
              </a:graphicData>
            </a:graphic>
          </wp:anchor>
        </w:drawing>
      </w:r>
    </w:p>
    <w:p w14:paraId="4C01E9B5">
      <w:pPr>
        <w:widowControl w:val="0"/>
        <w:spacing w:after="156" w:afterLines="50"/>
        <w:ind w:firstLine="0" w:firstLineChars="0"/>
        <w:jc w:val="center"/>
        <w:rPr>
          <w:rFonts w:cs="Times New Roman"/>
          <w:b/>
          <w:sz w:val="52"/>
          <w:szCs w:val="52"/>
        </w:rPr>
      </w:pPr>
    </w:p>
    <w:p w14:paraId="091EB79B">
      <w:pPr>
        <w:widowControl w:val="0"/>
        <w:spacing w:after="156" w:afterLines="50"/>
        <w:ind w:firstLine="0" w:firstLineChars="0"/>
        <w:jc w:val="center"/>
        <w:rPr>
          <w:rFonts w:cs="Times New Roman"/>
          <w:b/>
          <w:sz w:val="52"/>
          <w:szCs w:val="52"/>
        </w:rPr>
      </w:pPr>
    </w:p>
    <w:p w14:paraId="1743E80B">
      <w:pPr>
        <w:widowControl w:val="0"/>
        <w:spacing w:after="156" w:afterLines="50"/>
        <w:ind w:firstLine="0" w:firstLineChars="0"/>
        <w:jc w:val="center"/>
        <w:rPr>
          <w:rFonts w:cs="Times New Roman"/>
          <w:b/>
          <w:sz w:val="52"/>
          <w:szCs w:val="52"/>
        </w:rPr>
      </w:pPr>
      <w:r>
        <w:rPr>
          <w:rFonts w:cs="Times New Roman"/>
          <w:b/>
          <w:sz w:val="52"/>
          <w:szCs w:val="52"/>
        </w:rPr>
        <w:t>学术学位授权点建设年度报告</w:t>
      </w:r>
    </w:p>
    <w:p w14:paraId="6B439093">
      <w:pPr>
        <w:spacing w:after="156" w:afterLines="50"/>
        <w:ind w:firstLine="2732" w:firstLineChars="621"/>
        <w:rPr>
          <w:rStyle w:val="13"/>
          <w:rFonts w:ascii="Times New Roman" w:hAnsi="Times New Roman" w:eastAsia="宋体"/>
          <w:bCs/>
          <w:sz w:val="44"/>
          <w:szCs w:val="44"/>
        </w:rPr>
      </w:pPr>
      <w:r>
        <w:rPr>
          <w:rStyle w:val="13"/>
          <w:rFonts w:ascii="Times New Roman" w:hAnsi="Times New Roman" w:eastAsia="宋体"/>
          <w:bCs/>
          <w:sz w:val="44"/>
          <w:szCs w:val="44"/>
        </w:rPr>
        <w:t>（202</w:t>
      </w:r>
      <w:r>
        <w:rPr>
          <w:rStyle w:val="13"/>
          <w:rFonts w:ascii="Times New Roman" w:hAnsi="Times New Roman"/>
          <w:bCs/>
          <w:sz w:val="44"/>
          <w:szCs w:val="44"/>
        </w:rPr>
        <w:t>2</w:t>
      </w:r>
      <w:r>
        <w:rPr>
          <w:rStyle w:val="13"/>
          <w:rFonts w:ascii="Times New Roman" w:hAnsi="Times New Roman" w:eastAsia="宋体"/>
          <w:bCs/>
          <w:sz w:val="44"/>
          <w:szCs w:val="44"/>
        </w:rPr>
        <w:t>年）</w:t>
      </w:r>
    </w:p>
    <w:p w14:paraId="3E1D9CB8">
      <w:pPr>
        <w:pStyle w:val="2"/>
        <w:ind w:firstLine="560"/>
        <w:rPr>
          <w:rFonts w:ascii="Times New Roman" w:hAnsi="Times New Roman" w:eastAsia="宋体" w:cs="Times New Roman"/>
        </w:rPr>
      </w:pPr>
    </w:p>
    <w:p w14:paraId="289E12F4">
      <w:pPr>
        <w:widowControl w:val="0"/>
        <w:spacing w:after="156" w:afterLines="50"/>
        <w:ind w:firstLine="0" w:firstLineChars="0"/>
        <w:jc w:val="center"/>
        <w:rPr>
          <w:rFonts w:cs="Times New Roman"/>
          <w:b/>
          <w:sz w:val="44"/>
          <w:szCs w:val="44"/>
        </w:rPr>
      </w:pPr>
    </w:p>
    <w:tbl>
      <w:tblPr>
        <w:tblStyle w:val="8"/>
        <w:tblW w:w="5541"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81"/>
      </w:tblGrid>
      <w:tr w14:paraId="0C1A9F05">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14:paraId="54481D83">
            <w:pPr>
              <w:widowControl w:val="0"/>
              <w:spacing w:line="200" w:lineRule="atLeast"/>
              <w:ind w:firstLine="0" w:firstLineChars="0"/>
              <w:jc w:val="distribute"/>
              <w:rPr>
                <w:rFonts w:cs="Times New Roman"/>
                <w:b/>
                <w:kern w:val="0"/>
                <w:sz w:val="32"/>
                <w:szCs w:val="32"/>
              </w:rPr>
            </w:pPr>
            <w:r>
              <w:rPr>
                <w:rFonts w:cs="Times New Roman"/>
                <w:b/>
                <w:kern w:val="0"/>
                <w:sz w:val="32"/>
                <w:szCs w:val="32"/>
              </w:rPr>
              <w:t>学位授予</w:t>
            </w:r>
          </w:p>
          <w:p w14:paraId="0F2293F0">
            <w:pPr>
              <w:widowControl w:val="0"/>
              <w:spacing w:line="200" w:lineRule="atLeast"/>
              <w:ind w:firstLine="0" w:firstLineChars="0"/>
              <w:jc w:val="distribute"/>
              <w:rPr>
                <w:rFonts w:cs="Times New Roman"/>
                <w:b/>
                <w:kern w:val="0"/>
                <w:sz w:val="32"/>
                <w:szCs w:val="32"/>
              </w:rPr>
            </w:pPr>
            <w:r>
              <w:rPr>
                <w:rFonts w:cs="Times New Roman"/>
                <w:b/>
                <w:kern w:val="0"/>
                <w:sz w:val="32"/>
                <w:szCs w:val="32"/>
              </w:rPr>
              <w:t>单位</w:t>
            </w:r>
          </w:p>
        </w:tc>
        <w:tc>
          <w:tcPr>
            <w:tcW w:w="3381" w:type="dxa"/>
            <w:tcBorders>
              <w:bottom w:val="single" w:color="auto" w:sz="4" w:space="0"/>
            </w:tcBorders>
            <w:vAlign w:val="center"/>
          </w:tcPr>
          <w:p w14:paraId="65BA9B66">
            <w:pPr>
              <w:widowControl w:val="0"/>
              <w:spacing w:line="240" w:lineRule="auto"/>
              <w:ind w:firstLine="0" w:firstLineChars="0"/>
              <w:rPr>
                <w:rFonts w:cs="Times New Roman"/>
                <w:b/>
                <w:kern w:val="0"/>
                <w:sz w:val="32"/>
                <w:szCs w:val="32"/>
              </w:rPr>
            </w:pPr>
            <w:r>
              <w:rPr>
                <w:rFonts w:cs="Times New Roman"/>
                <w:b/>
                <w:kern w:val="0"/>
                <w:sz w:val="32"/>
                <w:szCs w:val="32"/>
              </w:rPr>
              <w:t>名称：江西农业大学</w:t>
            </w:r>
          </w:p>
        </w:tc>
      </w:tr>
      <w:tr w14:paraId="573A0318">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14:paraId="29EA4F5B">
            <w:pPr>
              <w:widowControl w:val="0"/>
              <w:spacing w:line="240" w:lineRule="auto"/>
              <w:ind w:firstLine="666" w:firstLineChars="0"/>
              <w:jc w:val="center"/>
              <w:rPr>
                <w:rFonts w:cs="Times New Roman"/>
                <w:b/>
                <w:kern w:val="0"/>
                <w:sz w:val="32"/>
                <w:szCs w:val="32"/>
              </w:rPr>
            </w:pPr>
          </w:p>
        </w:tc>
        <w:tc>
          <w:tcPr>
            <w:tcW w:w="3381" w:type="dxa"/>
            <w:tcBorders>
              <w:top w:val="single" w:color="auto" w:sz="4" w:space="0"/>
            </w:tcBorders>
            <w:vAlign w:val="center"/>
          </w:tcPr>
          <w:p w14:paraId="006BFADF">
            <w:pPr>
              <w:widowControl w:val="0"/>
              <w:spacing w:line="240" w:lineRule="auto"/>
              <w:ind w:firstLine="0" w:firstLineChars="0"/>
              <w:rPr>
                <w:rFonts w:cs="Times New Roman"/>
                <w:b/>
                <w:kern w:val="0"/>
                <w:sz w:val="32"/>
                <w:szCs w:val="32"/>
              </w:rPr>
            </w:pPr>
            <w:r>
              <w:rPr>
                <w:rFonts w:cs="Times New Roman"/>
                <w:b/>
                <w:kern w:val="0"/>
                <w:sz w:val="32"/>
                <w:szCs w:val="32"/>
              </w:rPr>
              <w:t>代码：10410</w:t>
            </w:r>
          </w:p>
        </w:tc>
      </w:tr>
    </w:tbl>
    <w:p w14:paraId="4B8ACAE4">
      <w:pPr>
        <w:widowControl w:val="0"/>
        <w:spacing w:line="720" w:lineRule="auto"/>
        <w:ind w:firstLine="0" w:firstLineChars="0"/>
        <w:jc w:val="center"/>
        <w:rPr>
          <w:rFonts w:cs="Times New Roman"/>
          <w:b/>
          <w:sz w:val="30"/>
          <w:szCs w:val="30"/>
        </w:rPr>
      </w:pPr>
    </w:p>
    <w:tbl>
      <w:tblPr>
        <w:tblStyle w:val="8"/>
        <w:tblW w:w="5527"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67"/>
      </w:tblGrid>
      <w:tr w14:paraId="6D41C151">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14:paraId="4B92916C">
            <w:pPr>
              <w:widowControl w:val="0"/>
              <w:spacing w:line="240" w:lineRule="auto"/>
              <w:ind w:firstLine="0" w:firstLineChars="0"/>
              <w:jc w:val="distribute"/>
              <w:rPr>
                <w:rFonts w:cs="Times New Roman"/>
                <w:b/>
                <w:kern w:val="0"/>
                <w:sz w:val="32"/>
                <w:szCs w:val="32"/>
              </w:rPr>
            </w:pPr>
            <w:r>
              <w:rPr>
                <w:rFonts w:cs="Times New Roman"/>
                <w:b/>
                <w:kern w:val="0"/>
                <w:sz w:val="32"/>
                <w:szCs w:val="32"/>
              </w:rPr>
              <w:t>授权学科</w:t>
            </w:r>
          </w:p>
          <w:p w14:paraId="05B621D0">
            <w:pPr>
              <w:widowControl w:val="0"/>
              <w:spacing w:line="240" w:lineRule="auto"/>
              <w:ind w:firstLine="0" w:firstLineChars="0"/>
              <w:jc w:val="distribute"/>
              <w:rPr>
                <w:rFonts w:cs="Times New Roman"/>
                <w:b/>
                <w:kern w:val="0"/>
                <w:sz w:val="32"/>
                <w:szCs w:val="32"/>
              </w:rPr>
            </w:pPr>
            <w:r>
              <w:rPr>
                <w:rFonts w:cs="Times New Roman"/>
                <w:b/>
                <w:kern w:val="0"/>
                <w:sz w:val="32"/>
                <w:szCs w:val="32"/>
              </w:rPr>
              <w:t>（类别）</w:t>
            </w:r>
          </w:p>
        </w:tc>
        <w:tc>
          <w:tcPr>
            <w:tcW w:w="3367" w:type="dxa"/>
            <w:tcBorders>
              <w:bottom w:val="single" w:color="auto" w:sz="4" w:space="0"/>
            </w:tcBorders>
            <w:vAlign w:val="center"/>
          </w:tcPr>
          <w:p w14:paraId="0519BFFB">
            <w:pPr>
              <w:widowControl w:val="0"/>
              <w:spacing w:line="240" w:lineRule="auto"/>
              <w:ind w:firstLine="0" w:firstLineChars="0"/>
              <w:rPr>
                <w:rFonts w:cs="Times New Roman"/>
                <w:b/>
                <w:kern w:val="0"/>
                <w:sz w:val="32"/>
                <w:szCs w:val="32"/>
              </w:rPr>
            </w:pPr>
            <w:r>
              <w:rPr>
                <w:rFonts w:cs="Times New Roman"/>
                <w:b/>
                <w:kern w:val="0"/>
                <w:sz w:val="32"/>
                <w:szCs w:val="32"/>
              </w:rPr>
              <w:t>名称：食品科学与工程</w:t>
            </w:r>
          </w:p>
        </w:tc>
      </w:tr>
      <w:tr w14:paraId="26F51967">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14:paraId="72B0AC91">
            <w:pPr>
              <w:widowControl w:val="0"/>
              <w:spacing w:line="240" w:lineRule="auto"/>
              <w:ind w:firstLine="666" w:firstLineChars="0"/>
              <w:jc w:val="center"/>
              <w:rPr>
                <w:rFonts w:cs="Times New Roman"/>
                <w:b/>
                <w:kern w:val="0"/>
                <w:sz w:val="32"/>
                <w:szCs w:val="32"/>
              </w:rPr>
            </w:pPr>
          </w:p>
        </w:tc>
        <w:tc>
          <w:tcPr>
            <w:tcW w:w="3367" w:type="dxa"/>
            <w:tcBorders>
              <w:top w:val="single" w:color="auto" w:sz="4" w:space="0"/>
            </w:tcBorders>
            <w:vAlign w:val="center"/>
          </w:tcPr>
          <w:p w14:paraId="05CDB287">
            <w:pPr>
              <w:widowControl w:val="0"/>
              <w:spacing w:line="240" w:lineRule="auto"/>
              <w:ind w:firstLine="0" w:firstLineChars="0"/>
              <w:rPr>
                <w:rFonts w:cs="Times New Roman"/>
                <w:b/>
                <w:kern w:val="0"/>
                <w:sz w:val="32"/>
                <w:szCs w:val="32"/>
              </w:rPr>
            </w:pPr>
            <w:r>
              <w:rPr>
                <w:rFonts w:cs="Times New Roman"/>
                <w:b/>
                <w:kern w:val="0"/>
                <w:sz w:val="32"/>
                <w:szCs w:val="32"/>
              </w:rPr>
              <w:t>代码：0832</w:t>
            </w:r>
          </w:p>
        </w:tc>
      </w:tr>
    </w:tbl>
    <w:p w14:paraId="721D85B1">
      <w:pPr>
        <w:widowControl w:val="0"/>
        <w:spacing w:line="720" w:lineRule="auto"/>
        <w:ind w:firstLine="0" w:firstLineChars="0"/>
        <w:jc w:val="center"/>
        <w:rPr>
          <w:rFonts w:cs="Times New Roman"/>
          <w:b/>
          <w:sz w:val="30"/>
          <w:szCs w:val="30"/>
        </w:rPr>
      </w:pPr>
    </w:p>
    <w:tbl>
      <w:tblPr>
        <w:tblStyle w:val="8"/>
        <w:tblW w:w="5541"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81"/>
      </w:tblGrid>
      <w:tr w14:paraId="593DCA4A">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14:paraId="5A25BC63">
            <w:pPr>
              <w:widowControl w:val="0"/>
              <w:ind w:firstLine="0" w:firstLineChars="0"/>
              <w:jc w:val="distribute"/>
              <w:rPr>
                <w:rFonts w:cs="Times New Roman"/>
                <w:b/>
                <w:kern w:val="0"/>
                <w:sz w:val="32"/>
                <w:szCs w:val="32"/>
              </w:rPr>
            </w:pPr>
            <w:r>
              <w:rPr>
                <w:rFonts w:cs="Times New Roman"/>
                <w:b/>
                <w:bCs/>
                <w:color w:val="000000"/>
                <w:kern w:val="0"/>
                <w:sz w:val="32"/>
                <w:szCs w:val="32"/>
              </w:rPr>
              <w:t>授权级别</w:t>
            </w:r>
          </w:p>
        </w:tc>
        <w:tc>
          <w:tcPr>
            <w:tcW w:w="3381" w:type="dxa"/>
            <w:tcBorders>
              <w:bottom w:val="single" w:color="auto" w:sz="4" w:space="0"/>
            </w:tcBorders>
            <w:vAlign w:val="center"/>
          </w:tcPr>
          <w:p w14:paraId="3A5F9EA5">
            <w:pPr>
              <w:widowControl w:val="0"/>
              <w:ind w:firstLine="0" w:firstLineChars="0"/>
              <w:rPr>
                <w:rFonts w:cs="Times New Roman"/>
                <w:b/>
                <w:kern w:val="0"/>
                <w:sz w:val="32"/>
                <w:szCs w:val="32"/>
              </w:rPr>
            </w:pPr>
            <w:sdt>
              <w:sdtPr>
                <w:rPr>
                  <w:rFonts w:cs="Times New Roman"/>
                  <w:b/>
                  <w:bCs/>
                  <w:color w:val="000000"/>
                  <w:kern w:val="0"/>
                  <w:sz w:val="32"/>
                  <w:szCs w:val="32"/>
                </w:rPr>
                <w:id w:val="-1365437306"/>
                <w14:checkbox>
                  <w14:checked w14:val="0"/>
                  <w14:checkedState w14:val="221A" w14:font="宋体"/>
                  <w14:uncheckedState w14:val="2610" w14:font="MS Gothic"/>
                </w14:checkbox>
              </w:sdtPr>
              <w:sdtEndPr>
                <w:rPr>
                  <w:rFonts w:cs="Times New Roman"/>
                  <w:b/>
                  <w:bCs/>
                  <w:color w:val="000000"/>
                  <w:kern w:val="0"/>
                  <w:sz w:val="32"/>
                  <w:szCs w:val="32"/>
                </w:rPr>
              </w:sdtEndPr>
              <w:sdtContent>
                <w:r>
                  <w:rPr>
                    <w:rFonts w:cs="Times New Roman"/>
                    <w:b/>
                    <w:bCs/>
                    <w:color w:val="000000"/>
                    <w:kern w:val="0"/>
                    <w:sz w:val="32"/>
                    <w:szCs w:val="32"/>
                  </w:rPr>
                  <w:t>☐</w:t>
                </w:r>
              </w:sdtContent>
            </w:sdt>
            <w:r>
              <w:rPr>
                <w:rFonts w:cs="Times New Roman"/>
                <w:b/>
                <w:bCs/>
                <w:color w:val="000000"/>
                <w:kern w:val="0"/>
                <w:sz w:val="32"/>
                <w:szCs w:val="32"/>
              </w:rPr>
              <w:t>博士</w:t>
            </w:r>
          </w:p>
        </w:tc>
      </w:tr>
      <w:tr w14:paraId="0AA2EDFF">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14:paraId="58442E69">
            <w:pPr>
              <w:widowControl w:val="0"/>
              <w:ind w:firstLine="710"/>
              <w:jc w:val="center"/>
              <w:rPr>
                <w:rFonts w:cs="Times New Roman"/>
                <w:b/>
                <w:kern w:val="0"/>
                <w:sz w:val="32"/>
                <w:szCs w:val="32"/>
              </w:rPr>
            </w:pPr>
          </w:p>
        </w:tc>
        <w:tc>
          <w:tcPr>
            <w:tcW w:w="3381" w:type="dxa"/>
            <w:tcBorders>
              <w:top w:val="single" w:color="auto" w:sz="4" w:space="0"/>
              <w:bottom w:val="single" w:color="auto" w:sz="4" w:space="0"/>
            </w:tcBorders>
            <w:vAlign w:val="center"/>
          </w:tcPr>
          <w:p w14:paraId="16D95E71">
            <w:pPr>
              <w:widowControl w:val="0"/>
              <w:ind w:firstLine="0" w:firstLineChars="0"/>
              <w:rPr>
                <w:rFonts w:cs="Times New Roman"/>
                <w:b/>
                <w:kern w:val="0"/>
                <w:sz w:val="32"/>
                <w:szCs w:val="32"/>
              </w:rPr>
            </w:pPr>
            <w:sdt>
              <w:sdtPr>
                <w:rPr>
                  <w:rFonts w:cs="Times New Roman"/>
                  <w:b/>
                  <w:bCs/>
                  <w:color w:val="000000"/>
                  <w:kern w:val="0"/>
                  <w:sz w:val="32"/>
                  <w:szCs w:val="32"/>
                  <w:bdr w:val="single" w:color="auto" w:sz="4" w:space="0"/>
                </w:rPr>
                <w:id w:val="-241571878"/>
                <w14:checkbox>
                  <w14:checked w14:val="1"/>
                  <w14:checkedState w14:val="221A" w14:font="宋体"/>
                  <w14:uncheckedState w14:val="2610" w14:font="MS Gothic"/>
                </w14:checkbox>
              </w:sdtPr>
              <w:sdtEndPr>
                <w:rPr>
                  <w:rFonts w:cs="Times New Roman"/>
                  <w:b/>
                  <w:bCs/>
                  <w:color w:val="000000"/>
                  <w:kern w:val="0"/>
                  <w:sz w:val="32"/>
                  <w:szCs w:val="32"/>
                  <w:bdr w:val="single" w:color="auto" w:sz="4" w:space="0"/>
                </w:rPr>
              </w:sdtEndPr>
              <w:sdtContent>
                <w:r>
                  <w:rPr>
                    <w:rFonts w:hint="eastAsia" w:ascii="宋体" w:hAnsi="宋体" w:cs="Times New Roman"/>
                    <w:b/>
                    <w:bCs/>
                    <w:color w:val="000000"/>
                    <w:kern w:val="0"/>
                    <w:sz w:val="32"/>
                    <w:szCs w:val="32"/>
                    <w:bdr w:val="single" w:color="auto" w:sz="4" w:space="0"/>
                  </w:rPr>
                  <w:t>√</w:t>
                </w:r>
              </w:sdtContent>
            </w:sdt>
            <w:r>
              <w:rPr>
                <w:rFonts w:cs="Times New Roman"/>
                <w:b/>
                <w:bCs/>
                <w:color w:val="000000"/>
                <w:kern w:val="0"/>
                <w:sz w:val="32"/>
                <w:szCs w:val="32"/>
              </w:rPr>
              <w:t>硕士</w:t>
            </w:r>
          </w:p>
        </w:tc>
      </w:tr>
    </w:tbl>
    <w:p w14:paraId="0E08D1E1">
      <w:pPr>
        <w:widowControl w:val="0"/>
        <w:spacing w:line="240" w:lineRule="auto"/>
        <w:ind w:firstLine="0" w:firstLineChars="0"/>
        <w:rPr>
          <w:rFonts w:cs="Times New Roman"/>
          <w:b/>
          <w:sz w:val="30"/>
          <w:szCs w:val="30"/>
        </w:rPr>
      </w:pPr>
    </w:p>
    <w:p w14:paraId="4DB5DCDA">
      <w:pPr>
        <w:widowControl w:val="0"/>
        <w:spacing w:line="240" w:lineRule="auto"/>
        <w:ind w:firstLine="0" w:firstLineChars="0"/>
        <w:rPr>
          <w:rFonts w:cs="Times New Roman"/>
          <w:b/>
          <w:sz w:val="30"/>
          <w:szCs w:val="30"/>
        </w:rPr>
      </w:pPr>
    </w:p>
    <w:p w14:paraId="14A38DC7">
      <w:pPr>
        <w:pStyle w:val="2"/>
        <w:ind w:firstLine="560"/>
        <w:rPr>
          <w:rFonts w:ascii="Times New Roman" w:hAnsi="Times New Roman" w:eastAsia="宋体" w:cs="Times New Roman"/>
        </w:rPr>
      </w:pPr>
    </w:p>
    <w:p w14:paraId="1E5AA5A8">
      <w:pPr>
        <w:widowControl w:val="0"/>
        <w:spacing w:line="240" w:lineRule="auto"/>
        <w:ind w:firstLine="0" w:firstLineChars="0"/>
        <w:jc w:val="center"/>
        <w:rPr>
          <w:rFonts w:cs="Times New Roman"/>
          <w:b/>
          <w:sz w:val="32"/>
          <w:szCs w:val="32"/>
        </w:rPr>
      </w:pPr>
      <w:r>
        <w:rPr>
          <w:rFonts w:cs="Times New Roman"/>
          <w:b/>
          <w:sz w:val="32"/>
          <w:szCs w:val="32"/>
        </w:rPr>
        <w:t>202</w:t>
      </w:r>
      <w:r>
        <w:rPr>
          <w:rFonts w:hint="eastAsia" w:cs="Times New Roman"/>
          <w:b/>
          <w:sz w:val="32"/>
          <w:szCs w:val="32"/>
        </w:rPr>
        <w:t>3</w:t>
      </w:r>
      <w:r>
        <w:rPr>
          <w:rFonts w:cs="Times New Roman"/>
          <w:b/>
          <w:sz w:val="32"/>
          <w:szCs w:val="32"/>
        </w:rPr>
        <w:t xml:space="preserve">年 </w:t>
      </w:r>
      <w:r>
        <w:rPr>
          <w:rFonts w:hint="eastAsia" w:cs="Times New Roman"/>
          <w:b/>
          <w:sz w:val="32"/>
          <w:szCs w:val="32"/>
        </w:rPr>
        <w:t>2</w:t>
      </w:r>
      <w:r>
        <w:rPr>
          <w:rFonts w:cs="Times New Roman"/>
          <w:b/>
          <w:sz w:val="32"/>
          <w:szCs w:val="32"/>
        </w:rPr>
        <w:t xml:space="preserve">月 </w:t>
      </w:r>
      <w:r>
        <w:rPr>
          <w:rFonts w:hint="eastAsia" w:cs="Times New Roman"/>
          <w:b/>
          <w:sz w:val="32"/>
          <w:szCs w:val="32"/>
        </w:rPr>
        <w:t>17</w:t>
      </w:r>
      <w:r>
        <w:rPr>
          <w:rFonts w:cs="Times New Roman"/>
          <w:b/>
          <w:sz w:val="32"/>
          <w:szCs w:val="32"/>
        </w:rPr>
        <w:t>日</w:t>
      </w:r>
    </w:p>
    <w:p w14:paraId="074346AA">
      <w:pPr>
        <w:widowControl w:val="0"/>
        <w:spacing w:after="156" w:afterLines="50" w:line="400" w:lineRule="exact"/>
        <w:ind w:firstLine="0" w:firstLineChars="0"/>
        <w:jc w:val="center"/>
        <w:rPr>
          <w:rFonts w:cs="Times New Roman"/>
          <w:b/>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docGrid w:type="lines" w:linePitch="312" w:charSpace="0"/>
        </w:sectPr>
      </w:pPr>
    </w:p>
    <w:p w14:paraId="627BBA23">
      <w:pPr>
        <w:widowControl w:val="0"/>
        <w:spacing w:after="156" w:afterLines="50" w:line="400" w:lineRule="exact"/>
        <w:ind w:firstLine="0" w:firstLineChars="0"/>
        <w:jc w:val="center"/>
        <w:rPr>
          <w:rFonts w:cs="Times New Roman"/>
          <w:b/>
          <w:sz w:val="32"/>
          <w:szCs w:val="32"/>
        </w:rPr>
      </w:pPr>
      <w:r>
        <w:rPr>
          <w:rFonts w:cs="Times New Roman"/>
          <w:b/>
          <w:sz w:val="32"/>
          <w:szCs w:val="32"/>
        </w:rPr>
        <w:t>编 写 说 明</w:t>
      </w:r>
    </w:p>
    <w:p w14:paraId="23B15DD0">
      <w:pPr>
        <w:ind w:firstLine="619"/>
        <w:rPr>
          <w:rFonts w:cs="Times New Roman"/>
        </w:rPr>
      </w:pPr>
      <w:r>
        <w:rPr>
          <w:rFonts w:cs="Times New Roman"/>
        </w:rPr>
        <w:t>一、</w:t>
      </w:r>
      <w:r>
        <w:rPr>
          <w:rFonts w:cs="Times New Roman"/>
          <w:spacing w:val="2"/>
        </w:rPr>
        <w:t>本报告采取写实性描述，能用数据定量描述的，不得定性描述。定量数据除总量外，尽可能用师均、生均或比例描述。报告中所描述的内容和数据应确属本学位点，必须真实、</w:t>
      </w:r>
      <w:r>
        <w:rPr>
          <w:rFonts w:cs="Times New Roman"/>
        </w:rPr>
        <w:t>准确，有据可查。</w:t>
      </w:r>
    </w:p>
    <w:p w14:paraId="646EE744">
      <w:pPr>
        <w:ind w:firstLine="619"/>
        <w:rPr>
          <w:rFonts w:cs="Times New Roman"/>
          <w:spacing w:val="2"/>
        </w:rPr>
      </w:pPr>
      <w:r>
        <w:rPr>
          <w:rFonts w:cs="Times New Roman"/>
        </w:rPr>
        <w:t>二、本报告的</w:t>
      </w:r>
      <w:r>
        <w:rPr>
          <w:rFonts w:cs="Times New Roman"/>
          <w:spacing w:val="2"/>
        </w:rPr>
        <w:t>各项内容须是本学位点</w:t>
      </w:r>
      <w:r>
        <w:rPr>
          <w:rFonts w:cs="Times New Roman"/>
          <w:b/>
          <w:bCs/>
          <w:spacing w:val="2"/>
        </w:rPr>
        <w:t>202X年度</w:t>
      </w:r>
      <w:r>
        <w:rPr>
          <w:rFonts w:cs="Times New Roman"/>
          <w:spacing w:val="2"/>
        </w:rPr>
        <w:t>的情况，统计时间以202X年12月31日为截止时间。</w:t>
      </w:r>
    </w:p>
    <w:p w14:paraId="62491A27">
      <w:pPr>
        <w:ind w:firstLine="619"/>
        <w:rPr>
          <w:rFonts w:cs="Times New Roman"/>
        </w:rPr>
      </w:pPr>
      <w:r>
        <w:rPr>
          <w:rFonts w:cs="Times New Roman"/>
        </w:rPr>
        <w:t>三、本报告所涉及的师资内容应区分目前人事关系隶属本单位的专职人员和兼职导师（同一人员原则上不得在不同学术学位点或不同专业学位点重复统计或填写）。</w:t>
      </w:r>
    </w:p>
    <w:p w14:paraId="63C02661">
      <w:pPr>
        <w:ind w:firstLine="619"/>
        <w:rPr>
          <w:rFonts w:cs="Times New Roman"/>
        </w:rPr>
      </w:pPr>
      <w:r>
        <w:rPr>
          <w:rFonts w:cs="Times New Roman"/>
        </w:rPr>
        <w:t>四、本报告中所涉及的成果（论文、专著、专利、科研奖励、教学成果奖励等）应是署名本单位，且同一人员的同一成果不得在不同学术学位点或不同专业学位点重复统计或填写。引进人员在调入本学位点之前署名其他单位所获得的成果不填写、不统计。</w:t>
      </w:r>
    </w:p>
    <w:p w14:paraId="73C1C17F">
      <w:pPr>
        <w:ind w:firstLine="619"/>
        <w:rPr>
          <w:rFonts w:cs="Times New Roman"/>
          <w:spacing w:val="2"/>
        </w:rPr>
      </w:pPr>
      <w:r>
        <w:rPr>
          <w:rFonts w:cs="Times New Roman"/>
        </w:rPr>
        <w:t>五、</w:t>
      </w:r>
      <w:r>
        <w:rPr>
          <w:rFonts w:cs="Times New Roman"/>
          <w:spacing w:val="2"/>
        </w:rPr>
        <w:t>涉及国家机密的内容一律按国家有关保密规定进行脱密处理后编写。</w:t>
      </w:r>
    </w:p>
    <w:p w14:paraId="6A20CA13">
      <w:pPr>
        <w:ind w:firstLine="628"/>
        <w:rPr>
          <w:rFonts w:cs="Times New Roman"/>
          <w:spacing w:val="2"/>
        </w:rPr>
      </w:pPr>
      <w:r>
        <w:rPr>
          <w:rFonts w:cs="Times New Roman"/>
          <w:spacing w:val="2"/>
        </w:rPr>
        <w:t>六、本报告文字使用四号宋体，字数不超过15000字，纸张限用A4。</w:t>
      </w:r>
    </w:p>
    <w:p w14:paraId="77E35881">
      <w:pPr>
        <w:ind w:firstLine="710"/>
        <w:rPr>
          <w:rFonts w:cs="Times New Roman"/>
          <w:b/>
          <w:bCs/>
          <w:sz w:val="32"/>
          <w:szCs w:val="32"/>
        </w:rPr>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pgNumType w:start="1"/>
          <w:cols w:space="425" w:num="1"/>
          <w:docGrid w:type="lines" w:linePitch="312" w:charSpace="0"/>
        </w:sectPr>
      </w:pPr>
    </w:p>
    <w:p w14:paraId="6C88BFCD">
      <w:pPr>
        <w:ind w:firstLine="0" w:firstLineChars="0"/>
        <w:rPr>
          <w:rFonts w:cs="Times New Roman"/>
          <w:b/>
          <w:bCs/>
          <w:sz w:val="32"/>
          <w:szCs w:val="32"/>
        </w:rPr>
      </w:pPr>
      <w:r>
        <w:rPr>
          <w:rFonts w:cs="Times New Roman"/>
          <w:sz w:val="32"/>
        </w:rPr>
        <mc:AlternateContent>
          <mc:Choice Requires="wps">
            <w:drawing>
              <wp:anchor distT="0" distB="0" distL="114300" distR="114300" simplePos="0" relativeHeight="251660288" behindDoc="0" locked="0" layoutInCell="1" allowOverlap="1">
                <wp:simplePos x="0" y="0"/>
                <wp:positionH relativeFrom="column">
                  <wp:posOffset>3627755</wp:posOffset>
                </wp:positionH>
                <wp:positionV relativeFrom="paragraph">
                  <wp:posOffset>-15240</wp:posOffset>
                </wp:positionV>
                <wp:extent cx="1628775" cy="398780"/>
                <wp:effectExtent l="6350" t="6350" r="22225" b="13970"/>
                <wp:wrapNone/>
                <wp:docPr id="1" name="矩形 1"/>
                <wp:cNvGraphicFramePr/>
                <a:graphic xmlns:a="http://schemas.openxmlformats.org/drawingml/2006/main">
                  <a:graphicData uri="http://schemas.microsoft.com/office/word/2010/wordprocessingShape">
                    <wps:wsp>
                      <wps:cNvSpPr/>
                      <wps:spPr>
                        <a:xfrm>
                          <a:off x="4852035" y="965200"/>
                          <a:ext cx="1628775" cy="398780"/>
                        </a:xfrm>
                        <a:prstGeom prst="rect">
                          <a:avLst/>
                        </a:prstGeom>
                      </wps:spPr>
                      <wps:style>
                        <a:lnRef idx="2">
                          <a:schemeClr val="dk1"/>
                        </a:lnRef>
                        <a:fillRef idx="1">
                          <a:schemeClr val="lt1"/>
                        </a:fillRef>
                        <a:effectRef idx="0">
                          <a:schemeClr val="dk1"/>
                        </a:effectRef>
                        <a:fontRef idx="minor">
                          <a:schemeClr val="dk1"/>
                        </a:fontRef>
                      </wps:style>
                      <wps:txbx>
                        <w:txbxContent>
                          <w:p w14:paraId="60EEAABA">
                            <w:pPr>
                              <w:spacing w:line="240" w:lineRule="auto"/>
                              <w:ind w:firstLine="0" w:firstLineChars="0"/>
                              <w:rPr>
                                <w:rFonts w:ascii="黑体" w:hAnsi="黑体" w:eastAsia="黑体" w:cs="黑体"/>
                                <w:b/>
                                <w:bCs/>
                              </w:rPr>
                            </w:pPr>
                            <w:r>
                              <w:rPr>
                                <w:rFonts w:hint="eastAsia" w:ascii="黑体" w:hAnsi="黑体" w:eastAsia="黑体" w:cs="黑体"/>
                                <w:b/>
                                <w:bCs/>
                              </w:rPr>
                              <w:t>提纲内容仅供参考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5.65pt;margin-top:-1.2pt;height:31.4pt;width:128.25pt;z-index:251660288;v-text-anchor:middle;mso-width-relative:page;mso-height-relative:page;" fillcolor="#FFFFFF [3201]" filled="t" stroked="t" coordsize="21600,21600" o:gfxdata="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xnOh/tcAAAAJAQAADwAAAAAAAAABACAA&#10;AAAiAAAAZHJzL2Rvd25yZXYueG1sUEsBAhQAFAAAAAgAh07iQCf80OyAAgAACgUAAA4AAAAAAAAA&#10;AQAgAAAAJgEAAGRycy9lMm9Eb2MueG1sUEsFBgAAAAAGAAYAWQEAABgGAAAAAA==&#10;">
                <v:fill on="t" focussize="0,0"/>
                <v:stroke weight="1pt" color="#000000 [3200]" miterlimit="8" joinstyle="miter"/>
                <v:imagedata o:title=""/>
                <o:lock v:ext="edit" aspectratio="f"/>
                <v:textbox>
                  <w:txbxContent>
                    <w:p w14:paraId="60EEAABA">
                      <w:pPr>
                        <w:spacing w:line="240" w:lineRule="auto"/>
                        <w:ind w:firstLine="0" w:firstLineChars="0"/>
                        <w:rPr>
                          <w:rFonts w:ascii="黑体" w:hAnsi="黑体" w:eastAsia="黑体" w:cs="黑体"/>
                          <w:b/>
                          <w:bCs/>
                        </w:rPr>
                      </w:pPr>
                      <w:r>
                        <w:rPr>
                          <w:rFonts w:hint="eastAsia" w:ascii="黑体" w:hAnsi="黑体" w:eastAsia="黑体" w:cs="黑体"/>
                          <w:b/>
                          <w:bCs/>
                        </w:rPr>
                        <w:t>提纲内容仅供参考</w:t>
                      </w:r>
                    </w:p>
                  </w:txbxContent>
                </v:textbox>
              </v:rect>
            </w:pict>
          </mc:Fallback>
        </mc:AlternateContent>
      </w:r>
    </w:p>
    <w:p w14:paraId="260603C4">
      <w:pPr>
        <w:numPr>
          <w:ilvl w:val="0"/>
          <w:numId w:val="1"/>
        </w:numPr>
        <w:ind w:firstLine="710"/>
        <w:rPr>
          <w:rFonts w:cs="Times New Roman"/>
          <w:b/>
          <w:bCs/>
          <w:sz w:val="32"/>
          <w:szCs w:val="32"/>
        </w:rPr>
      </w:pPr>
      <w:r>
        <w:rPr>
          <w:rFonts w:cs="Times New Roman"/>
          <w:b/>
          <w:bCs/>
          <w:sz w:val="32"/>
          <w:szCs w:val="32"/>
        </w:rPr>
        <w:t>学位授权点基本情况</w:t>
      </w:r>
    </w:p>
    <w:p w14:paraId="0B5356FD">
      <w:pPr>
        <w:ind w:firstLine="560" w:firstLineChars="200"/>
        <w:rPr>
          <w:rFonts w:cs="Times New Roman"/>
          <w:color w:val="0000FF"/>
          <w:szCs w:val="28"/>
        </w:rPr>
      </w:pPr>
      <w:r>
        <w:rPr>
          <w:rFonts w:cs="Times New Roman"/>
          <w:color w:val="0000FF"/>
          <w:szCs w:val="28"/>
        </w:rPr>
        <w:t>【本部分可参考本学位授权点《学位授权点抽评要素》、《学位授权审核申请基本条件》、《一级学科博士、硕士学位基本要求》、《学位授权点基本状态信息表》等主要内容进行编写，但不限于上述内容。编写时应体现本学位授权点的特色和人才培养水平，相关数据统计可以使用图表表示。博士学位授权点涉及博士、硕士内容不同的部分可分别描述。】</w:t>
      </w:r>
    </w:p>
    <w:p w14:paraId="6302DA15">
      <w:pPr>
        <w:pStyle w:val="2"/>
        <w:ind w:firstLine="560"/>
      </w:pPr>
      <w:r>
        <w:rPr>
          <w:rFonts w:ascii="Times New Roman" w:hAnsi="Times New Roman" w:eastAsia="宋体" w:cs="Times New Roman"/>
          <w:szCs w:val="28"/>
          <w:shd w:val="clear" w:color="auto" w:fill="FFFFFF"/>
        </w:rPr>
        <w:t xml:space="preserve">江西农业大学食品科学与工程学科为“十二五”和“十三五”省一流学科，于2010年获得硕士一级授权点，2019年获批畜产品安全生产与加工工程二级博士学位授权点；食品科学与工程专业2019年入选国家一流专业建设点。学科按照高标准、严要求的建设方针，已建设成为我省重要的食品科学与工程科研和人才培养基地之一，拥有“江西省农产品加工与安全控制工程实验室”博士后科研工作站，“农产品贮藏加工工程”省级实验教学示范中心、省“天然产物与功能食品”重点实验室、省发改委“江西省农产品加工与安全控制”重点工程实验室和南昌市“农产品加工与质量控制”重点实验室。学科学术梯队合理、师资力量较雄厚，学科现有专职教师 </w:t>
      </w:r>
      <w:r>
        <w:rPr>
          <w:rFonts w:hint="eastAsia" w:ascii="宋体" w:hAnsi="宋体" w:eastAsia="宋体" w:cs="宋体"/>
          <w:szCs w:val="28"/>
          <w:shd w:val="clear" w:color="auto" w:fill="FFFFFF"/>
        </w:rPr>
        <w:t>54</w:t>
      </w:r>
      <w:r>
        <w:rPr>
          <w:rFonts w:ascii="Times New Roman" w:hAnsi="Times New Roman" w:eastAsia="宋体" w:cs="Times New Roman"/>
          <w:szCs w:val="28"/>
          <w:shd w:val="clear" w:color="auto" w:fill="FFFFFF"/>
        </w:rPr>
        <w:t>人，其中正高级职称1</w:t>
      </w:r>
      <w:r>
        <w:rPr>
          <w:rFonts w:hint="eastAsia" w:ascii="Times New Roman" w:hAnsi="Times New Roman" w:eastAsia="宋体" w:cs="Times New Roman"/>
          <w:szCs w:val="28"/>
          <w:shd w:val="clear" w:color="auto" w:fill="FFFFFF"/>
        </w:rPr>
        <w:t>8</w:t>
      </w:r>
      <w:r>
        <w:rPr>
          <w:rFonts w:ascii="Times New Roman" w:hAnsi="Times New Roman" w:eastAsia="宋体" w:cs="Times New Roman"/>
          <w:szCs w:val="28"/>
          <w:shd w:val="clear" w:color="auto" w:fill="FFFFFF"/>
        </w:rPr>
        <w:t>人</w:t>
      </w:r>
      <w:r>
        <w:rPr>
          <w:rFonts w:hint="eastAsia" w:ascii="宋体" w:hAnsi="宋体" w:eastAsia="宋体" w:cs="宋体"/>
          <w:szCs w:val="28"/>
          <w:shd w:val="clear" w:color="auto" w:fill="FFFFFF"/>
        </w:rPr>
        <w:t>;</w:t>
      </w:r>
      <w:r>
        <w:rPr>
          <w:rFonts w:ascii="Times New Roman" w:hAnsi="Times New Roman" w:eastAsia="宋体" w:cs="Times New Roman"/>
          <w:szCs w:val="28"/>
          <w:shd w:val="clear" w:color="auto" w:fill="FFFFFF"/>
        </w:rPr>
        <w:t>具有博士学位</w:t>
      </w:r>
      <w:r>
        <w:rPr>
          <w:rFonts w:hint="eastAsia" w:ascii="宋体" w:hAnsi="宋体" w:eastAsia="宋体" w:cs="宋体"/>
          <w:szCs w:val="28"/>
          <w:shd w:val="clear" w:color="auto" w:fill="FFFFFF"/>
        </w:rPr>
        <w:t>46</w:t>
      </w:r>
      <w:r>
        <w:rPr>
          <w:rFonts w:ascii="Times New Roman" w:hAnsi="Times New Roman" w:eastAsia="宋体" w:cs="Times New Roman"/>
          <w:szCs w:val="28"/>
          <w:shd w:val="clear" w:color="auto" w:fill="FFFFFF"/>
        </w:rPr>
        <w:t>人，有 20</w:t>
      </w:r>
      <w:r>
        <w:rPr>
          <w:rFonts w:hint="eastAsia" w:ascii="Times New Roman" w:hAnsi="Times New Roman" w:eastAsia="宋体" w:cs="Times New Roman"/>
          <w:szCs w:val="28"/>
          <w:shd w:val="clear" w:color="auto" w:fill="FFFFFF"/>
        </w:rPr>
        <w:t>余</w:t>
      </w:r>
      <w:r>
        <w:rPr>
          <w:rFonts w:ascii="Times New Roman" w:hAnsi="Times New Roman" w:eastAsia="宋体" w:cs="Times New Roman"/>
          <w:szCs w:val="28"/>
          <w:shd w:val="clear" w:color="auto" w:fill="FFFFFF"/>
        </w:rPr>
        <w:t xml:space="preserve">人先后在美国、加拿大等国访学一年以上。多年来，围绕“江西省十大战略性新兴产业发展规划”、苏区振兴等重大战略需要，学科以江西大宗农产品深加工和特色食品新资源为研究对象，在食品科学、农产品贮藏保鲜与精深加工，食品营养学和食品安全等领域形成了稳定的研究方向，形成了自身的研究特色，并取得了一定的成绩。近 5 年获得国家级项目 </w:t>
      </w:r>
      <w:r>
        <w:rPr>
          <w:rFonts w:hint="eastAsia" w:ascii="Times New Roman" w:hAnsi="Times New Roman" w:eastAsia="宋体" w:cs="Times New Roman"/>
          <w:szCs w:val="28"/>
          <w:shd w:val="clear" w:color="auto" w:fill="FFFFFF"/>
        </w:rPr>
        <w:t>40余</w:t>
      </w:r>
      <w:r>
        <w:rPr>
          <w:rFonts w:ascii="Times New Roman" w:hAnsi="Times New Roman" w:eastAsia="宋体" w:cs="Times New Roman"/>
          <w:szCs w:val="28"/>
          <w:shd w:val="clear" w:color="auto" w:fill="FFFFFF"/>
        </w:rPr>
        <w:t>项，省部级 12</w:t>
      </w:r>
      <w:r>
        <w:rPr>
          <w:rFonts w:hint="eastAsia" w:ascii="Times New Roman" w:hAnsi="Times New Roman" w:eastAsia="宋体" w:cs="Times New Roman"/>
          <w:szCs w:val="28"/>
          <w:shd w:val="clear" w:color="auto" w:fill="FFFFFF"/>
        </w:rPr>
        <w:t>0余</w:t>
      </w:r>
      <w:r>
        <w:rPr>
          <w:rFonts w:ascii="Times New Roman" w:hAnsi="Times New Roman" w:eastAsia="宋体" w:cs="Times New Roman"/>
          <w:szCs w:val="28"/>
          <w:shd w:val="clear" w:color="auto" w:fill="FFFFFF"/>
        </w:rPr>
        <w:t xml:space="preserve">项，总经费 </w:t>
      </w:r>
      <w:r>
        <w:rPr>
          <w:rFonts w:hint="eastAsia" w:ascii="Times New Roman" w:hAnsi="Times New Roman" w:eastAsia="宋体" w:cs="Times New Roman"/>
          <w:szCs w:val="28"/>
          <w:shd w:val="clear" w:color="auto" w:fill="FFFFFF"/>
        </w:rPr>
        <w:t>5000余</w:t>
      </w:r>
      <w:r>
        <w:rPr>
          <w:rFonts w:ascii="Times New Roman" w:hAnsi="Times New Roman" w:eastAsia="宋体" w:cs="Times New Roman"/>
          <w:szCs w:val="28"/>
          <w:shd w:val="clear" w:color="auto" w:fill="FFFFFF"/>
        </w:rPr>
        <w:t>万元；发表高水平论文 500多篇；取得了一批科技成果，已转让或被企业采用的成果 10 多项；获省部级以上科研奖励 8 项、市厅级奖励15 项；获国家发明专利23项、国际专利1项。学科为政府、企业及科研机构输送了大量的本、硕人才，受到了用人单位的广泛好评。近 5 年来，30 多人考入</w:t>
      </w:r>
      <w:r>
        <w:rPr>
          <w:rFonts w:hint="eastAsia" w:ascii="Times New Roman" w:hAnsi="Times New Roman" w:eastAsia="宋体" w:cs="Times New Roman"/>
          <w:szCs w:val="28"/>
          <w:shd w:val="clear" w:color="auto" w:fill="FFFFFF"/>
        </w:rPr>
        <w:t>浙江大学、</w:t>
      </w:r>
      <w:r>
        <w:rPr>
          <w:rFonts w:ascii="Times New Roman" w:hAnsi="Times New Roman" w:eastAsia="宋体" w:cs="Times New Roman"/>
          <w:szCs w:val="28"/>
          <w:shd w:val="clear" w:color="auto" w:fill="FFFFFF"/>
        </w:rPr>
        <w:t>江南大学、中国农业大学等攻读博士学位；研究生在校期间发表高水平论文 300 多篇。培养的硕士研究生去向包括博士深造、在各级食品安全监管部门和企业就业，毕业生的质量得到了社会的广泛认可。</w:t>
      </w:r>
    </w:p>
    <w:p w14:paraId="4ABA5195">
      <w:pPr>
        <w:pStyle w:val="2"/>
        <w:spacing w:line="560" w:lineRule="exact"/>
        <w:ind w:firstLine="562"/>
        <w:rPr>
          <w:rFonts w:ascii="Times New Roman" w:hAnsi="Times New Roman" w:eastAsia="宋体" w:cs="Times New Roman"/>
          <w:b/>
          <w:bCs/>
          <w:szCs w:val="28"/>
        </w:rPr>
      </w:pPr>
      <w:r>
        <w:rPr>
          <w:rFonts w:ascii="Times New Roman" w:hAnsi="Times New Roman" w:eastAsia="宋体" w:cs="Times New Roman"/>
          <w:b/>
          <w:bCs/>
          <w:szCs w:val="28"/>
        </w:rPr>
        <w:t>（一）培养目标与标准</w:t>
      </w:r>
    </w:p>
    <w:p w14:paraId="09566F34">
      <w:pPr>
        <w:ind w:firstLine="562" w:firstLineChars="200"/>
        <w:rPr>
          <w:rFonts w:cs="Times New Roman"/>
          <w:b/>
          <w:bCs/>
          <w:szCs w:val="28"/>
        </w:rPr>
      </w:pPr>
      <w:r>
        <w:rPr>
          <w:rFonts w:cs="Times New Roman"/>
          <w:b/>
          <w:bCs/>
          <w:szCs w:val="28"/>
        </w:rPr>
        <w:t>1.培养目标</w:t>
      </w:r>
    </w:p>
    <w:p w14:paraId="69D8D8FF">
      <w:pPr>
        <w:ind w:firstLine="560" w:firstLineChars="200"/>
        <w:rPr>
          <w:rFonts w:cs="Times New Roman"/>
          <w:color w:val="0000FF"/>
          <w:szCs w:val="28"/>
        </w:rPr>
      </w:pPr>
      <w:r>
        <w:rPr>
          <w:rFonts w:cs="Times New Roman"/>
          <w:color w:val="0000FF"/>
          <w:szCs w:val="28"/>
        </w:rPr>
        <w:t>本学位点培养研究生的目标定位</w:t>
      </w:r>
    </w:p>
    <w:p w14:paraId="76FE0FE5">
      <w:pPr>
        <w:pStyle w:val="12"/>
        <w:ind w:left="0" w:leftChars="0" w:firstLine="560" w:firstLineChars="200"/>
        <w:rPr>
          <w:rFonts w:cs="Times New Roman"/>
        </w:rPr>
      </w:pPr>
      <w:r>
        <w:rPr>
          <w:rFonts w:cs="Times New Roman"/>
        </w:rPr>
        <w:t>学科致力于培养适合现代科技发展和社会主义现代化建设需要的德、智、体、劳、美全面发展的食品科学、农产品加工及贮藏工程和食品营养与安全专业高级专门人才。具备本学科的现代实验方法和技能，了解本学科现代理论和技术的发展水平以及所从事研究方向的国内外发展动态，具有从事本专业实际工作与科研工作的表达能力、管理能力、创新能力及分析问题和解决问题的能力。</w:t>
      </w:r>
    </w:p>
    <w:p w14:paraId="05232E10">
      <w:pPr>
        <w:pStyle w:val="2"/>
        <w:spacing w:line="560" w:lineRule="exact"/>
        <w:ind w:firstLine="562"/>
        <w:rPr>
          <w:rFonts w:ascii="Times New Roman" w:hAnsi="Times New Roman" w:eastAsia="宋体" w:cs="Times New Roman"/>
          <w:b/>
          <w:bCs/>
          <w:szCs w:val="28"/>
        </w:rPr>
      </w:pPr>
      <w:r>
        <w:rPr>
          <w:rFonts w:ascii="Times New Roman" w:hAnsi="Times New Roman" w:eastAsia="宋体" w:cs="Times New Roman"/>
          <w:b/>
          <w:bCs/>
          <w:szCs w:val="28"/>
        </w:rPr>
        <w:t>2.学位标准</w:t>
      </w:r>
    </w:p>
    <w:p w14:paraId="1AF3C1ED">
      <w:pPr>
        <w:ind w:firstLine="560" w:firstLineChars="200"/>
        <w:rPr>
          <w:rFonts w:cs="Times New Roman"/>
          <w:color w:val="0000FF"/>
          <w:szCs w:val="28"/>
        </w:rPr>
      </w:pPr>
      <w:r>
        <w:rPr>
          <w:rFonts w:cs="Times New Roman"/>
          <w:color w:val="0000FF"/>
          <w:szCs w:val="28"/>
        </w:rPr>
        <w:t>符合本学科特点，与我校办学定位及特色相一致的学位授予质量标准的制定及执行情况。</w:t>
      </w:r>
    </w:p>
    <w:p w14:paraId="1F89C351">
      <w:pPr>
        <w:ind w:firstLine="619"/>
        <w:rPr>
          <w:rFonts w:cs="Times New Roman"/>
        </w:rPr>
      </w:pPr>
      <w:r>
        <w:rPr>
          <w:rFonts w:cs="Times New Roman"/>
        </w:rPr>
        <w:t>系统掌握食品科学与工程学科的理论基础、专业知识及实验技能，了解本学科领域的发展方向及国际学术前沿动态，能独立从事本学科及相关学科领域的科研、教学和生产管理</w:t>
      </w:r>
      <w:r>
        <w:rPr>
          <w:rFonts w:hint="eastAsia" w:cs="Times New Roman"/>
        </w:rPr>
        <w:t>工作；</w:t>
      </w:r>
      <w:r>
        <w:rPr>
          <w:rFonts w:cs="Times New Roman"/>
        </w:rPr>
        <w:t>熟练掌握一门外语，能在研究工作中熟练使用先进的分析仪器、计算机及应用软件，能阅读与本学科相关的外文文献资料。</w:t>
      </w:r>
    </w:p>
    <w:p w14:paraId="6B70BFF2">
      <w:pPr>
        <w:pStyle w:val="12"/>
        <w:ind w:left="560" w:firstLine="619"/>
      </w:pPr>
    </w:p>
    <w:p w14:paraId="65B57A65">
      <w:pPr>
        <w:ind w:firstLine="621"/>
        <w:rPr>
          <w:rFonts w:cs="Times New Roman"/>
          <w:b/>
          <w:bCs/>
          <w:szCs w:val="28"/>
        </w:rPr>
      </w:pPr>
      <w:r>
        <w:rPr>
          <w:rFonts w:cs="Times New Roman"/>
          <w:b/>
          <w:bCs/>
          <w:szCs w:val="28"/>
        </w:rPr>
        <w:t>（二）基本条件建设情况</w:t>
      </w:r>
    </w:p>
    <w:p w14:paraId="5EE82F0A">
      <w:pPr>
        <w:ind w:firstLine="621"/>
        <w:rPr>
          <w:rFonts w:cs="Times New Roman"/>
          <w:b/>
          <w:bCs/>
          <w:szCs w:val="28"/>
        </w:rPr>
      </w:pPr>
      <w:r>
        <w:rPr>
          <w:rFonts w:cs="Times New Roman"/>
          <w:b/>
          <w:bCs/>
          <w:szCs w:val="28"/>
        </w:rPr>
        <w:t>1.培养方向</w:t>
      </w:r>
    </w:p>
    <w:p w14:paraId="7388D80C">
      <w:pPr>
        <w:pStyle w:val="14"/>
        <w:adjustRightInd w:val="0"/>
        <w:snapToGrid w:val="0"/>
        <w:ind w:left="200" w:firstLine="439" w:firstLineChars="157"/>
        <w:rPr>
          <w:rFonts w:cs="Times New Roman"/>
          <w:color w:val="0000FF"/>
          <w:szCs w:val="28"/>
        </w:rPr>
      </w:pPr>
      <w:r>
        <w:rPr>
          <w:rFonts w:cs="Times New Roman"/>
          <w:color w:val="0000FF"/>
          <w:szCs w:val="28"/>
        </w:rPr>
        <w:t>本学位点主要培养方向的简介，全面、客观，能体现其设置的规范性、前沿性、特色性和相对稳定性。</w:t>
      </w:r>
    </w:p>
    <w:p w14:paraId="736960AD">
      <w:pPr>
        <w:pStyle w:val="14"/>
        <w:adjustRightInd w:val="0"/>
        <w:snapToGrid w:val="0"/>
        <w:ind w:left="200" w:firstLine="719" w:firstLineChars="257"/>
        <w:rPr>
          <w:rFonts w:cs="Times New Roman"/>
          <w:color w:val="000000"/>
          <w:kern w:val="0"/>
          <w:szCs w:val="28"/>
          <w:shd w:val="clear" w:color="auto" w:fill="FFFFFF"/>
          <w:lang w:bidi="ar"/>
        </w:rPr>
      </w:pPr>
      <w:r>
        <w:rPr>
          <w:rFonts w:cs="Times New Roman"/>
          <w:color w:val="000000"/>
          <w:kern w:val="0"/>
          <w:szCs w:val="28"/>
          <w:shd w:val="clear" w:color="auto" w:fill="FFFFFF"/>
          <w:lang w:bidi="ar"/>
        </w:rPr>
        <w:t>食品科学与工程学科现已形成食品科学、农产品加工与贮藏工程、食品营养和食品安全四个培养方向。</w:t>
      </w:r>
    </w:p>
    <w:p w14:paraId="7A31134F">
      <w:pPr>
        <w:pStyle w:val="14"/>
        <w:adjustRightInd w:val="0"/>
        <w:snapToGrid w:val="0"/>
        <w:ind w:left="200" w:firstLine="722" w:firstLineChars="257"/>
        <w:rPr>
          <w:rFonts w:cs="Times New Roman"/>
          <w:color w:val="000000"/>
          <w:kern w:val="0"/>
          <w:szCs w:val="28"/>
          <w:shd w:val="clear" w:color="auto" w:fill="FFFFFF"/>
          <w:lang w:bidi="ar"/>
        </w:rPr>
      </w:pPr>
      <w:r>
        <w:rPr>
          <w:rFonts w:cs="Times New Roman"/>
          <w:b/>
          <w:bCs/>
          <w:color w:val="000000"/>
          <w:kern w:val="0"/>
          <w:szCs w:val="28"/>
          <w:shd w:val="clear" w:color="auto" w:fill="FFFFFF"/>
          <w:lang w:bidi="ar"/>
        </w:rPr>
        <w:t>食品科学</w:t>
      </w:r>
      <w:r>
        <w:rPr>
          <w:rFonts w:cs="Times New Roman"/>
          <w:color w:val="000000"/>
          <w:kern w:val="0"/>
          <w:szCs w:val="28"/>
          <w:shd w:val="clear" w:color="auto" w:fill="FFFFFF"/>
          <w:lang w:bidi="ar"/>
        </w:rPr>
        <w:t>：本培养方向主要特色是将食品化学与天然产物研究有机结合，建立了天然食品资源深度开发和综合利用研究的良好技术平台；在食源性天然产物的分离、纯化及结构鉴定，活性筛选、构效关系及作用机理研究，及天然食品资源的综合开发与利用及功能性食品等研究领域取得了一定的成果。</w:t>
      </w:r>
    </w:p>
    <w:p w14:paraId="7CD4D317">
      <w:pPr>
        <w:pStyle w:val="14"/>
        <w:adjustRightInd w:val="0"/>
        <w:snapToGrid w:val="0"/>
        <w:ind w:left="200" w:firstLine="722" w:firstLineChars="257"/>
        <w:rPr>
          <w:rFonts w:cs="Times New Roman"/>
          <w:color w:val="000000"/>
          <w:kern w:val="0"/>
          <w:szCs w:val="28"/>
          <w:shd w:val="clear" w:color="auto" w:fill="FFFFFF"/>
          <w:lang w:bidi="ar"/>
        </w:rPr>
      </w:pPr>
      <w:r>
        <w:rPr>
          <w:rFonts w:cs="Times New Roman"/>
          <w:b/>
          <w:bCs/>
          <w:color w:val="000000"/>
          <w:kern w:val="0"/>
          <w:szCs w:val="28"/>
          <w:shd w:val="clear" w:color="auto" w:fill="FFFFFF"/>
          <w:lang w:bidi="ar"/>
        </w:rPr>
        <w:t>农产品加工与贮藏工程：</w:t>
      </w:r>
      <w:r>
        <w:rPr>
          <w:rFonts w:cs="Times New Roman"/>
          <w:color w:val="000000"/>
          <w:kern w:val="0"/>
          <w:szCs w:val="28"/>
          <w:shd w:val="clear" w:color="auto" w:fill="FFFFFF"/>
          <w:lang w:bidi="ar"/>
        </w:rPr>
        <w:t>本培养方向以推进我国食品加工、贮运、流通现代化为目标，综合运用化学、生物学、 工程技术、营养学等学科基础理论，研究大宗农产品（禽、蛋、肉类、牛奶、粮食、果 蔬等）加工、贮藏及副产品综合利用等基础科学与工程技术问题。充分利用江西省农产 品资源，开展精深加工、综合利用、贮藏保鲜理论与技术研究，并取得了较好成果，尤其在禽蛋、脐橙、植物蛋白质等方面研究成果显著。</w:t>
      </w:r>
    </w:p>
    <w:p w14:paraId="582CFD02">
      <w:pPr>
        <w:pStyle w:val="14"/>
        <w:adjustRightInd w:val="0"/>
        <w:snapToGrid w:val="0"/>
        <w:ind w:left="200" w:firstLine="722" w:firstLineChars="257"/>
        <w:rPr>
          <w:rFonts w:cs="Times New Roman"/>
          <w:color w:val="000000"/>
          <w:kern w:val="0"/>
          <w:szCs w:val="28"/>
          <w:shd w:val="clear" w:color="auto" w:fill="FFFFFF"/>
          <w:lang w:bidi="ar"/>
        </w:rPr>
      </w:pPr>
      <w:r>
        <w:rPr>
          <w:rFonts w:cs="Times New Roman"/>
          <w:b/>
          <w:bCs/>
          <w:color w:val="000000"/>
          <w:kern w:val="0"/>
          <w:szCs w:val="28"/>
          <w:shd w:val="clear" w:color="auto" w:fill="FFFFFF"/>
          <w:lang w:bidi="ar"/>
        </w:rPr>
        <w:t>食品营养：</w:t>
      </w:r>
      <w:r>
        <w:rPr>
          <w:rFonts w:cs="Times New Roman"/>
          <w:color w:val="000000"/>
          <w:kern w:val="0"/>
          <w:szCs w:val="28"/>
          <w:shd w:val="clear" w:color="auto" w:fill="FFFFFF"/>
          <w:lang w:bidi="ar"/>
        </w:rPr>
        <w:t>本培养方向应用常规营养学和分子营养学研究的技术原理，对具有特殊生理功能的物质进行分析和 研究。通过多年的研究，已形成了常量和微量营养素常规分析、功能成分动物试验、基 因表达调控、蛋白质表达调控和基因多态性与膳食因子的响应情况进行了研究，并已取 得了一定成果；建立了稳定的研究队伍和良好的技术平台，形成了自身的研究方向和特 色，特别是在营养组学研究方面，已取得了较好的研究成果。</w:t>
      </w:r>
    </w:p>
    <w:p w14:paraId="3BBED091">
      <w:pPr>
        <w:pStyle w:val="14"/>
        <w:adjustRightInd w:val="0"/>
        <w:snapToGrid w:val="0"/>
        <w:ind w:left="200" w:firstLine="722" w:firstLineChars="257"/>
        <w:rPr>
          <w:rFonts w:cs="Times New Roman"/>
          <w:color w:val="000000"/>
          <w:kern w:val="0"/>
          <w:szCs w:val="28"/>
          <w:shd w:val="clear" w:color="auto" w:fill="FFFFFF"/>
          <w:lang w:bidi="ar"/>
        </w:rPr>
      </w:pPr>
      <w:r>
        <w:rPr>
          <w:rFonts w:cs="Times New Roman"/>
          <w:b/>
          <w:bCs/>
          <w:color w:val="000000"/>
          <w:kern w:val="0"/>
          <w:szCs w:val="28"/>
          <w:shd w:val="clear" w:color="auto" w:fill="FFFFFF"/>
          <w:lang w:bidi="ar"/>
        </w:rPr>
        <w:t>食品安全：</w:t>
      </w:r>
      <w:r>
        <w:rPr>
          <w:rFonts w:cs="Times New Roman"/>
          <w:color w:val="000000"/>
          <w:kern w:val="0"/>
          <w:szCs w:val="28"/>
          <w:shd w:val="clear" w:color="auto" w:fill="FFFFFF"/>
          <w:lang w:bidi="ar"/>
        </w:rPr>
        <w:t>本培养方向以食品安全全程控制为目标，重点围绕大宗农副产品农药兽药、食源性致病 菌、生物毒素、非食用添加物以及食品加工过程中产生的有害物质引起的食品安全问题 开展研究，主要从事食品安全检测新方法、新技术、食品加工过程中微生物污染、有害 物的生成机制及控制技术、危害因子风险评估等研究，建立了稳定的研究队伍和良好的 技术研发平台。目前已在食源性致病菌、农兽药快速检测与控制方面取得了一定的研究 成果。</w:t>
      </w:r>
    </w:p>
    <w:p w14:paraId="5F37CD98">
      <w:pPr>
        <w:ind w:firstLine="621"/>
        <w:rPr>
          <w:rFonts w:cs="Times New Roman"/>
          <w:b/>
          <w:bCs/>
          <w:szCs w:val="28"/>
        </w:rPr>
      </w:pPr>
      <w:r>
        <w:rPr>
          <w:rFonts w:cs="Times New Roman"/>
          <w:b/>
          <w:bCs/>
          <w:szCs w:val="28"/>
        </w:rPr>
        <w:t>2.师资队伍</w:t>
      </w:r>
    </w:p>
    <w:p w14:paraId="7F2158A3">
      <w:pPr>
        <w:ind w:firstLine="560" w:firstLineChars="200"/>
        <w:rPr>
          <w:rFonts w:cs="Times New Roman"/>
          <w:color w:val="0000FF"/>
          <w:szCs w:val="28"/>
        </w:rPr>
      </w:pPr>
      <w:r>
        <w:rPr>
          <w:rFonts w:cs="Times New Roman"/>
          <w:color w:val="0000FF"/>
          <w:szCs w:val="28"/>
        </w:rPr>
        <w:t>本学位授权点的师资队伍情况。包括人员规模、人员结构、学科带头人与学术骨干等情况。阐述年度增量，如职称评聘、师资引进、退休情况、人才获奖等。可参照对比《学位授权审核申请基本条件》的定性定量要求，查看本学科点是否满足要求。</w:t>
      </w:r>
    </w:p>
    <w:p w14:paraId="3A5E3E4B">
      <w:pPr>
        <w:ind w:firstLine="560" w:firstLineChars="200"/>
        <w:rPr>
          <w:rFonts w:cs="Times New Roman"/>
        </w:rPr>
      </w:pPr>
      <w:r>
        <w:rPr>
          <w:rFonts w:cs="Times New Roman"/>
          <w:color w:val="000000"/>
          <w:kern w:val="0"/>
          <w:szCs w:val="28"/>
          <w:shd w:val="clear" w:color="auto" w:fill="FFFFFF"/>
          <w:lang w:bidi="ar"/>
        </w:rPr>
        <w:t>学科现有专职教师5</w:t>
      </w:r>
      <w:r>
        <w:rPr>
          <w:rFonts w:hint="eastAsia" w:cs="Times New Roman"/>
          <w:color w:val="000000"/>
          <w:kern w:val="0"/>
          <w:szCs w:val="28"/>
          <w:shd w:val="clear" w:color="auto" w:fill="FFFFFF"/>
          <w:lang w:bidi="ar"/>
        </w:rPr>
        <w:t>4</w:t>
      </w:r>
      <w:r>
        <w:rPr>
          <w:rFonts w:cs="Times New Roman"/>
          <w:color w:val="000000"/>
          <w:kern w:val="0"/>
          <w:szCs w:val="28"/>
          <w:shd w:val="clear" w:color="auto" w:fill="FFFFFF"/>
          <w:lang w:bidi="ar"/>
        </w:rPr>
        <w:t>人，实验员5人，其中正高级职称 1</w:t>
      </w:r>
      <w:r>
        <w:rPr>
          <w:rFonts w:hint="eastAsia" w:cs="Times New Roman"/>
          <w:color w:val="000000"/>
          <w:kern w:val="0"/>
          <w:szCs w:val="28"/>
          <w:shd w:val="clear" w:color="auto" w:fill="FFFFFF"/>
          <w:lang w:bidi="ar"/>
        </w:rPr>
        <w:t>8</w:t>
      </w:r>
      <w:r>
        <w:rPr>
          <w:rFonts w:cs="Times New Roman"/>
          <w:color w:val="000000"/>
          <w:kern w:val="0"/>
          <w:szCs w:val="28"/>
          <w:shd w:val="clear" w:color="auto" w:fill="FFFFFF"/>
          <w:lang w:bidi="ar"/>
        </w:rPr>
        <w:t>人，具有博士学位4</w:t>
      </w:r>
      <w:r>
        <w:rPr>
          <w:rFonts w:hint="eastAsia" w:cs="Times New Roman"/>
          <w:color w:val="000000"/>
          <w:kern w:val="0"/>
          <w:szCs w:val="28"/>
          <w:shd w:val="clear" w:color="auto" w:fill="FFFFFF"/>
          <w:lang w:bidi="ar"/>
        </w:rPr>
        <w:t>6</w:t>
      </w:r>
      <w:r>
        <w:rPr>
          <w:rFonts w:cs="Times New Roman"/>
          <w:color w:val="000000"/>
          <w:kern w:val="0"/>
          <w:szCs w:val="28"/>
          <w:shd w:val="clear" w:color="auto" w:fill="FFFFFF"/>
          <w:lang w:bidi="ar"/>
        </w:rPr>
        <w:t>人，有 20人先后在美国、加拿大等国访学一年以上。202</w:t>
      </w:r>
      <w:r>
        <w:rPr>
          <w:rFonts w:hint="eastAsia" w:cs="Times New Roman"/>
          <w:color w:val="000000"/>
          <w:kern w:val="0"/>
          <w:szCs w:val="28"/>
          <w:shd w:val="clear" w:color="auto" w:fill="FFFFFF"/>
          <w:lang w:bidi="ar"/>
        </w:rPr>
        <w:t>2</w:t>
      </w:r>
      <w:r>
        <w:rPr>
          <w:rFonts w:cs="Times New Roman"/>
          <w:color w:val="000000"/>
          <w:kern w:val="0"/>
          <w:szCs w:val="28"/>
          <w:shd w:val="clear" w:color="auto" w:fill="FFFFFF"/>
          <w:lang w:bidi="ar"/>
        </w:rPr>
        <w:t>年新增专职教师</w:t>
      </w:r>
      <w:r>
        <w:rPr>
          <w:rFonts w:hint="eastAsia" w:cs="Times New Roman"/>
          <w:color w:val="000000"/>
          <w:kern w:val="0"/>
          <w:szCs w:val="28"/>
          <w:shd w:val="clear" w:color="auto" w:fill="FFFFFF"/>
          <w:lang w:bidi="ar"/>
        </w:rPr>
        <w:t>3</w:t>
      </w:r>
      <w:r>
        <w:rPr>
          <w:rFonts w:cs="Times New Roman"/>
          <w:color w:val="000000"/>
          <w:kern w:val="0"/>
          <w:szCs w:val="28"/>
          <w:shd w:val="clear" w:color="auto" w:fill="FFFFFF"/>
          <w:lang w:bidi="ar"/>
        </w:rPr>
        <w:t>人、晋升教授2人、晋升副教授</w:t>
      </w:r>
      <w:r>
        <w:rPr>
          <w:rFonts w:hint="eastAsia" w:cs="Times New Roman"/>
          <w:color w:val="000000"/>
          <w:kern w:val="0"/>
          <w:szCs w:val="28"/>
          <w:shd w:val="clear" w:color="auto" w:fill="FFFFFF"/>
          <w:lang w:bidi="ar"/>
        </w:rPr>
        <w:t>2</w:t>
      </w:r>
      <w:r>
        <w:rPr>
          <w:rFonts w:cs="Times New Roman"/>
          <w:color w:val="000000"/>
          <w:kern w:val="0"/>
          <w:szCs w:val="28"/>
          <w:shd w:val="clear" w:color="auto" w:fill="FFFFFF"/>
          <w:lang w:bidi="ar"/>
        </w:rPr>
        <w:t>人</w:t>
      </w:r>
      <w:r>
        <w:rPr>
          <w:rFonts w:hint="eastAsia" w:cs="Times New Roman"/>
          <w:color w:val="000000"/>
          <w:kern w:val="0"/>
          <w:szCs w:val="28"/>
          <w:shd w:val="clear" w:color="auto" w:fill="FFFFFF"/>
          <w:lang w:bidi="ar"/>
        </w:rPr>
        <w:t>；</w:t>
      </w:r>
      <w:r>
        <w:rPr>
          <w:rFonts w:cs="Times New Roman"/>
          <w:color w:val="000000"/>
          <w:kern w:val="0"/>
          <w:szCs w:val="28"/>
          <w:shd w:val="clear" w:color="auto" w:fill="FFFFFF"/>
          <w:lang w:bidi="ar"/>
        </w:rPr>
        <w:t>4人被新聘为博士生导师，5 人被新聘为硕士研究生导师，王文君教授入选江西省“金牌研究生导师”（教学名师）</w:t>
      </w:r>
      <w:r>
        <w:rPr>
          <w:rFonts w:hint="eastAsia" w:cs="Times New Roman"/>
          <w:color w:val="000000"/>
          <w:kern w:val="0"/>
          <w:szCs w:val="28"/>
          <w:shd w:val="clear" w:color="auto" w:fill="FFFFFF"/>
          <w:lang w:bidi="ar"/>
        </w:rPr>
        <w:t>。</w:t>
      </w:r>
    </w:p>
    <w:p w14:paraId="07001B73">
      <w:pPr>
        <w:pStyle w:val="14"/>
        <w:adjustRightInd w:val="0"/>
        <w:snapToGrid w:val="0"/>
        <w:ind w:left="200" w:firstLine="441" w:firstLineChars="157"/>
        <w:rPr>
          <w:rFonts w:cs="Times New Roman"/>
          <w:b/>
          <w:bCs/>
          <w:color w:val="000000"/>
          <w:szCs w:val="28"/>
        </w:rPr>
      </w:pPr>
      <w:r>
        <w:rPr>
          <w:rFonts w:cs="Times New Roman"/>
          <w:b/>
          <w:bCs/>
          <w:color w:val="000000"/>
          <w:szCs w:val="28"/>
        </w:rPr>
        <w:t>3.科学研究</w:t>
      </w:r>
    </w:p>
    <w:p w14:paraId="4F5E488B">
      <w:pPr>
        <w:ind w:firstLine="560" w:firstLineChars="200"/>
        <w:rPr>
          <w:rFonts w:cs="Times New Roman"/>
          <w:color w:val="0000FF"/>
          <w:szCs w:val="28"/>
        </w:rPr>
      </w:pPr>
      <w:r>
        <w:rPr>
          <w:rFonts w:cs="Times New Roman"/>
          <w:color w:val="0000FF"/>
          <w:szCs w:val="28"/>
        </w:rPr>
        <w:t>本学位点本年度完成的科研项目及在研项目情况。</w:t>
      </w:r>
    </w:p>
    <w:p w14:paraId="1FBB92CD">
      <w:pPr>
        <w:ind w:firstLine="619"/>
        <w:rPr>
          <w:rFonts w:cs="Times New Roman"/>
          <w:color w:val="000000"/>
          <w:kern w:val="0"/>
          <w:szCs w:val="28"/>
          <w:shd w:val="clear" w:color="auto" w:fill="FFFFFF"/>
          <w:lang w:bidi="ar"/>
        </w:rPr>
      </w:pPr>
      <w:r>
        <w:rPr>
          <w:rFonts w:cs="Times New Roman"/>
          <w:color w:val="000000"/>
          <w:kern w:val="0"/>
          <w:szCs w:val="28"/>
          <w:shd w:val="clear" w:color="auto" w:fill="FFFFFF"/>
          <w:lang w:bidi="ar"/>
        </w:rPr>
        <w:t xml:space="preserve">围绕“江西省十大战略性新兴产业发展规划”、苏区振兴等重大战略需要，学科以江西大宗农产品深加工和特色食品新资源为研究对象，在食品科学、农产品贮藏保鲜与精深加工，食品营养学和食品安全等领域形成了稳定的研究方向，形成了自身的研究特色，并取得了一定的成绩。近 5 年获得国家级项目 </w:t>
      </w:r>
      <w:r>
        <w:rPr>
          <w:rFonts w:hint="eastAsia" w:cs="Times New Roman"/>
          <w:color w:val="000000"/>
          <w:kern w:val="0"/>
          <w:szCs w:val="28"/>
          <w:shd w:val="clear" w:color="auto" w:fill="FFFFFF"/>
          <w:lang w:bidi="ar"/>
        </w:rPr>
        <w:t>40余</w:t>
      </w:r>
      <w:r>
        <w:rPr>
          <w:rFonts w:cs="Times New Roman"/>
          <w:color w:val="000000"/>
          <w:kern w:val="0"/>
          <w:szCs w:val="28"/>
          <w:shd w:val="clear" w:color="auto" w:fill="FFFFFF"/>
          <w:lang w:bidi="ar"/>
        </w:rPr>
        <w:t>项，省部级 12</w:t>
      </w:r>
      <w:r>
        <w:rPr>
          <w:rFonts w:hint="eastAsia" w:cs="Times New Roman"/>
          <w:color w:val="000000"/>
          <w:kern w:val="0"/>
          <w:szCs w:val="28"/>
          <w:shd w:val="clear" w:color="auto" w:fill="FFFFFF"/>
          <w:lang w:bidi="ar"/>
        </w:rPr>
        <w:t>0余</w:t>
      </w:r>
      <w:r>
        <w:rPr>
          <w:rFonts w:cs="Times New Roman"/>
          <w:color w:val="000000"/>
          <w:kern w:val="0"/>
          <w:szCs w:val="28"/>
          <w:shd w:val="clear" w:color="auto" w:fill="FFFFFF"/>
          <w:lang w:bidi="ar"/>
        </w:rPr>
        <w:t>项；发表高水平论文500多篇；取得了一批科技成果，已转让或被企业采用的成果 10 多项；获省部级以上科研奖励 8 项、市厅级奖励15 项；获国家发明专利23项、国际专利1项。</w:t>
      </w:r>
    </w:p>
    <w:p w14:paraId="7531947A">
      <w:pPr>
        <w:ind w:firstLine="619"/>
        <w:rPr>
          <w:rFonts w:cs="Times New Roman"/>
        </w:rPr>
      </w:pPr>
      <w:r>
        <w:rPr>
          <w:rFonts w:cs="Times New Roman"/>
          <w:color w:val="000000"/>
          <w:szCs w:val="28"/>
        </w:rPr>
        <w:t>202</w:t>
      </w:r>
      <w:r>
        <w:rPr>
          <w:rFonts w:hint="eastAsia" w:cs="Times New Roman"/>
          <w:color w:val="000000"/>
          <w:szCs w:val="28"/>
        </w:rPr>
        <w:t>2</w:t>
      </w:r>
      <w:r>
        <w:rPr>
          <w:rFonts w:cs="Times New Roman"/>
          <w:color w:val="000000"/>
          <w:szCs w:val="28"/>
        </w:rPr>
        <w:t>年度本学位点立项项目</w:t>
      </w:r>
      <w:r>
        <w:rPr>
          <w:rFonts w:hint="eastAsia" w:cs="Times New Roman"/>
          <w:color w:val="000000"/>
          <w:szCs w:val="28"/>
        </w:rPr>
        <w:t>情况</w:t>
      </w:r>
      <w:r>
        <w:rPr>
          <w:rFonts w:cs="Times New Roman"/>
          <w:color w:val="000000"/>
          <w:szCs w:val="28"/>
        </w:rPr>
        <w:t>：国家自然科学基金</w:t>
      </w:r>
      <w:r>
        <w:rPr>
          <w:rFonts w:hint="eastAsia" w:cs="Times New Roman"/>
          <w:color w:val="000000"/>
          <w:szCs w:val="28"/>
        </w:rPr>
        <w:t>9</w:t>
      </w:r>
      <w:r>
        <w:rPr>
          <w:rFonts w:cs="Times New Roman"/>
          <w:color w:val="000000"/>
          <w:szCs w:val="28"/>
        </w:rPr>
        <w:t>项，省基金重点项目3项、杰出青年基金1项，省基金青年项目和一般项目 5项，</w:t>
      </w:r>
      <w:r>
        <w:rPr>
          <w:rFonts w:hint="eastAsia" w:cs="Times New Roman"/>
          <w:color w:val="000000"/>
          <w:szCs w:val="28"/>
        </w:rPr>
        <w:t>产业体系岗位体系4项，</w:t>
      </w:r>
      <w:r>
        <w:rPr>
          <w:rFonts w:cs="Times New Roman"/>
          <w:color w:val="000000"/>
          <w:szCs w:val="28"/>
        </w:rPr>
        <w:t>横向项目8项，全年合同经费近600 万元。</w:t>
      </w:r>
    </w:p>
    <w:p w14:paraId="3E222DAF">
      <w:pPr>
        <w:ind w:firstLine="621"/>
        <w:rPr>
          <w:rFonts w:cs="Times New Roman"/>
          <w:b/>
          <w:bCs/>
          <w:szCs w:val="28"/>
        </w:rPr>
      </w:pPr>
      <w:r>
        <w:rPr>
          <w:rFonts w:cs="Times New Roman"/>
          <w:b/>
          <w:bCs/>
          <w:color w:val="000000"/>
          <w:szCs w:val="28"/>
        </w:rPr>
        <w:t>4.教学科研支撑</w:t>
      </w:r>
    </w:p>
    <w:p w14:paraId="0C3F3964">
      <w:pPr>
        <w:ind w:firstLine="560" w:firstLineChars="200"/>
        <w:rPr>
          <w:rFonts w:cs="Times New Roman"/>
          <w:color w:val="0000FF"/>
          <w:szCs w:val="28"/>
        </w:rPr>
      </w:pPr>
      <w:r>
        <w:rPr>
          <w:rFonts w:cs="Times New Roman"/>
          <w:color w:val="0000FF"/>
          <w:szCs w:val="28"/>
        </w:rPr>
        <w:t>本学位点本年度的主要科研成果、科研项目及在研项目、科研奖励等情况。可参照对比《学位授权审核申请基本条件》的定性定量要求。</w:t>
      </w:r>
    </w:p>
    <w:p w14:paraId="63F7F4FC">
      <w:pPr>
        <w:pStyle w:val="12"/>
        <w:ind w:left="0" w:leftChars="0" w:firstLine="0" w:firstLineChars="0"/>
        <w:rPr>
          <w:rFonts w:cs="Times New Roman"/>
        </w:rPr>
      </w:pPr>
      <w:r>
        <w:rPr>
          <w:rFonts w:cs="Times New Roman"/>
          <w:szCs w:val="28"/>
        </w:rPr>
        <w:t xml:space="preserve">   </w:t>
      </w:r>
      <w:r>
        <w:rPr>
          <w:rFonts w:cs="Times New Roman"/>
          <w:color w:val="000000"/>
          <w:szCs w:val="28"/>
        </w:rPr>
        <w:t>202</w:t>
      </w:r>
      <w:r>
        <w:rPr>
          <w:rFonts w:hint="eastAsia" w:cs="Times New Roman"/>
          <w:color w:val="000000"/>
          <w:szCs w:val="28"/>
        </w:rPr>
        <w:t>2</w:t>
      </w:r>
      <w:r>
        <w:rPr>
          <w:rFonts w:cs="Times New Roman"/>
          <w:color w:val="000000"/>
          <w:szCs w:val="28"/>
        </w:rPr>
        <w:t>年度本学位点</w:t>
      </w:r>
      <w:r>
        <w:rPr>
          <w:rFonts w:cs="Times New Roman"/>
          <w:szCs w:val="28"/>
        </w:rPr>
        <w:t>教师在国内外学术期刊发表学术论文</w:t>
      </w:r>
      <w:r>
        <w:rPr>
          <w:rFonts w:hint="eastAsia" w:cs="Times New Roman"/>
          <w:szCs w:val="28"/>
        </w:rPr>
        <w:t>70多</w:t>
      </w:r>
      <w:r>
        <w:rPr>
          <w:rFonts w:cs="Times New Roman"/>
          <w:szCs w:val="28"/>
        </w:rPr>
        <w:t>篇，其中 SCI 论文</w:t>
      </w:r>
      <w:r>
        <w:rPr>
          <w:rFonts w:hint="eastAsia" w:cs="Times New Roman"/>
          <w:szCs w:val="28"/>
        </w:rPr>
        <w:t>57</w:t>
      </w:r>
      <w:r>
        <w:rPr>
          <w:rFonts w:cs="Times New Roman"/>
          <w:szCs w:val="28"/>
        </w:rPr>
        <w:t>篇；获国内外发明专利和实用新型专利10件</w:t>
      </w:r>
      <w:r>
        <w:rPr>
          <w:rFonts w:hint="eastAsia" w:cs="Times New Roman"/>
          <w:szCs w:val="28"/>
        </w:rPr>
        <w:t>。</w:t>
      </w:r>
      <w:r>
        <w:rPr>
          <w:rFonts w:cs="Times New Roman"/>
          <w:szCs w:val="28"/>
        </w:rPr>
        <w:t>以研究生为第一作者发表论文</w:t>
      </w:r>
      <w:r>
        <w:rPr>
          <w:rFonts w:hint="eastAsia" w:cs="Times New Roman"/>
          <w:szCs w:val="28"/>
        </w:rPr>
        <w:t>60</w:t>
      </w:r>
      <w:r>
        <w:rPr>
          <w:rFonts w:cs="Times New Roman"/>
          <w:szCs w:val="28"/>
        </w:rPr>
        <w:t>篇，其中 SCI 论文</w:t>
      </w:r>
      <w:r>
        <w:rPr>
          <w:rFonts w:hint="eastAsia" w:cs="Times New Roman"/>
          <w:szCs w:val="28"/>
        </w:rPr>
        <w:t>45</w:t>
      </w:r>
      <w:r>
        <w:rPr>
          <w:rFonts w:cs="Times New Roman"/>
          <w:szCs w:val="28"/>
        </w:rPr>
        <w:t>篇</w:t>
      </w:r>
      <w:r>
        <w:rPr>
          <w:rFonts w:hint="eastAsia" w:cs="Times New Roman"/>
          <w:szCs w:val="28"/>
        </w:rPr>
        <w:t>、EI 3篇</w:t>
      </w:r>
      <w:r>
        <w:rPr>
          <w:rFonts w:cs="Times New Roman"/>
          <w:szCs w:val="28"/>
        </w:rPr>
        <w:t xml:space="preserve">。 </w:t>
      </w:r>
      <w:r>
        <w:rPr>
          <w:rFonts w:cs="Times New Roman"/>
          <w:color w:val="000000"/>
          <w:szCs w:val="28"/>
        </w:rPr>
        <w:t>202</w:t>
      </w:r>
      <w:r>
        <w:rPr>
          <w:rFonts w:hint="eastAsia" w:cs="Times New Roman"/>
          <w:color w:val="000000"/>
          <w:szCs w:val="28"/>
        </w:rPr>
        <w:t>2</w:t>
      </w:r>
      <w:r>
        <w:rPr>
          <w:rFonts w:cs="Times New Roman"/>
          <w:color w:val="000000"/>
          <w:szCs w:val="28"/>
        </w:rPr>
        <w:t>年度立项国家自然科学基金</w:t>
      </w:r>
      <w:r>
        <w:rPr>
          <w:rFonts w:hint="eastAsia" w:cs="Times New Roman"/>
          <w:color w:val="000000"/>
          <w:szCs w:val="28"/>
        </w:rPr>
        <w:t>9</w:t>
      </w:r>
      <w:r>
        <w:rPr>
          <w:rFonts w:cs="Times New Roman"/>
          <w:color w:val="000000"/>
          <w:szCs w:val="28"/>
        </w:rPr>
        <w:t>项，省级科研项目</w:t>
      </w:r>
      <w:r>
        <w:rPr>
          <w:rFonts w:hint="eastAsia" w:cs="Times New Roman"/>
          <w:color w:val="000000"/>
          <w:szCs w:val="28"/>
        </w:rPr>
        <w:t>6</w:t>
      </w:r>
      <w:r>
        <w:rPr>
          <w:rFonts w:cs="Times New Roman"/>
          <w:color w:val="000000"/>
          <w:szCs w:val="28"/>
        </w:rPr>
        <w:t>项，到账经费</w:t>
      </w:r>
      <w:r>
        <w:rPr>
          <w:rFonts w:hint="eastAsia" w:cs="Times New Roman"/>
          <w:color w:val="000000"/>
          <w:szCs w:val="28"/>
        </w:rPr>
        <w:t>近600</w:t>
      </w:r>
      <w:r>
        <w:rPr>
          <w:rFonts w:cs="Times New Roman"/>
          <w:color w:val="000000"/>
          <w:szCs w:val="28"/>
        </w:rPr>
        <w:t>万元，年人均获得各类课题经费数</w:t>
      </w:r>
      <w:r>
        <w:rPr>
          <w:rFonts w:hint="eastAsia" w:cs="Times New Roman"/>
          <w:color w:val="000000"/>
          <w:szCs w:val="28"/>
        </w:rPr>
        <w:t>11</w:t>
      </w:r>
      <w:r>
        <w:rPr>
          <w:rFonts w:cs="Times New Roman"/>
          <w:color w:val="000000"/>
          <w:szCs w:val="28"/>
        </w:rPr>
        <w:t>万元。学科拥有省“天然产物与功能食品”重点实验室、省发改委“江西省农产品加工与安全控制”重点工程实验室和省教育厅“天然产物开发与利用”重点实验室</w:t>
      </w:r>
      <w:r>
        <w:rPr>
          <w:rFonts w:hint="eastAsia" w:cs="Times New Roman"/>
          <w:color w:val="000000"/>
          <w:szCs w:val="28"/>
        </w:rPr>
        <w:t>，</w:t>
      </w:r>
      <w:r>
        <w:rPr>
          <w:rFonts w:cs="Times New Roman"/>
          <w:color w:val="000000"/>
          <w:szCs w:val="28"/>
        </w:rPr>
        <w:t>实验室总面积9000</w:t>
      </w:r>
      <w:r>
        <w:rPr>
          <w:rFonts w:hint="eastAsia" w:cs="Times New Roman"/>
          <w:color w:val="000000"/>
          <w:szCs w:val="28"/>
        </w:rPr>
        <w:t xml:space="preserve"> </w:t>
      </w:r>
      <w:r>
        <w:rPr>
          <w:rFonts w:cs="Times New Roman"/>
          <w:color w:val="000000"/>
          <w:szCs w:val="28"/>
        </w:rPr>
        <w:t>m</w:t>
      </w:r>
      <w:r>
        <w:rPr>
          <w:rFonts w:cs="Times New Roman"/>
          <w:color w:val="000000"/>
          <w:szCs w:val="28"/>
          <w:vertAlign w:val="superscript"/>
        </w:rPr>
        <w:t>2</w:t>
      </w:r>
      <w:r>
        <w:rPr>
          <w:rFonts w:hint="eastAsia" w:cs="Times New Roman"/>
          <w:color w:val="000000"/>
          <w:szCs w:val="28"/>
        </w:rPr>
        <w:t>。这些条件</w:t>
      </w:r>
      <w:r>
        <w:rPr>
          <w:rFonts w:cs="Times New Roman"/>
          <w:color w:val="000000"/>
          <w:szCs w:val="28"/>
        </w:rPr>
        <w:t>有力支撑了</w:t>
      </w:r>
      <w:r>
        <w:rPr>
          <w:rFonts w:hint="eastAsia" w:cs="Times New Roman"/>
          <w:color w:val="000000"/>
          <w:szCs w:val="28"/>
        </w:rPr>
        <w:t>本学位点</w:t>
      </w:r>
      <w:r>
        <w:rPr>
          <w:rFonts w:cs="Times New Roman"/>
          <w:color w:val="000000"/>
          <w:szCs w:val="28"/>
        </w:rPr>
        <w:t>教学科研</w:t>
      </w:r>
      <w:r>
        <w:rPr>
          <w:rFonts w:hint="eastAsia" w:cs="Times New Roman"/>
          <w:color w:val="000000"/>
          <w:szCs w:val="28"/>
        </w:rPr>
        <w:t>。</w:t>
      </w:r>
    </w:p>
    <w:p w14:paraId="0A07F4A3">
      <w:pPr>
        <w:pStyle w:val="2"/>
        <w:spacing w:line="560" w:lineRule="exact"/>
        <w:ind w:firstLine="562"/>
        <w:rPr>
          <w:rFonts w:ascii="Times New Roman" w:hAnsi="Times New Roman" w:eastAsia="宋体" w:cs="Times New Roman"/>
          <w:b/>
          <w:bCs/>
          <w:szCs w:val="28"/>
        </w:rPr>
      </w:pPr>
      <w:r>
        <w:rPr>
          <w:rFonts w:ascii="Times New Roman" w:hAnsi="Times New Roman" w:eastAsia="宋体" w:cs="Times New Roman"/>
          <w:b/>
          <w:bCs/>
          <w:szCs w:val="28"/>
        </w:rPr>
        <w:t>5.奖助体系</w:t>
      </w:r>
    </w:p>
    <w:p w14:paraId="14448C0E">
      <w:pPr>
        <w:ind w:firstLine="560" w:firstLineChars="200"/>
        <w:rPr>
          <w:rFonts w:cs="Times New Roman"/>
          <w:color w:val="0000FF"/>
          <w:szCs w:val="28"/>
        </w:rPr>
      </w:pPr>
      <w:r>
        <w:rPr>
          <w:rFonts w:cs="Times New Roman"/>
          <w:color w:val="0000FF"/>
          <w:szCs w:val="28"/>
        </w:rPr>
        <w:t>本学位点研究生奖助体系的制度建设、奖助水平、覆盖面等情况。本年度奖助学金发放情况。</w:t>
      </w:r>
    </w:p>
    <w:p w14:paraId="52C3BC0D">
      <w:pPr>
        <w:pStyle w:val="12"/>
        <w:ind w:left="0" w:leftChars="0" w:firstLine="0" w:firstLineChars="0"/>
        <w:rPr>
          <w:rFonts w:cs="Times New Roman"/>
        </w:rPr>
      </w:pPr>
      <w:r>
        <w:rPr>
          <w:rFonts w:cs="Times New Roman"/>
          <w:color w:val="000000"/>
          <w:szCs w:val="28"/>
        </w:rPr>
        <w:t xml:space="preserve">    本学位点具备完善的研究生奖助学金制度、学风和学术道德制度，管理人员落实。除有固定工资收入、定向、委培外，所有在校研究生均可享受国家助学金6000元/年。江西省研究生学业奖学金：硕士生每生每年8000元，资助比例为40%。江西农业大学研究生奖学金，获奖比例为60%，一、二、三等各</w:t>
      </w:r>
      <w:r>
        <w:rPr>
          <w:rFonts w:hint="eastAsia" w:cs="Times New Roman"/>
          <w:color w:val="000000"/>
          <w:szCs w:val="28"/>
        </w:rPr>
        <w:t>占</w:t>
      </w:r>
      <w:r>
        <w:rPr>
          <w:rFonts w:cs="Times New Roman"/>
          <w:color w:val="000000"/>
          <w:szCs w:val="28"/>
        </w:rPr>
        <w:t>20%，其中：一等奖学金每生每年5000元，二等每生每年4000元；三等每生每年3000元。每年择优评选国家奖学金和江西省政府奖学金。2021年度本学位点研究生获得国家奖学金</w:t>
      </w:r>
      <w:r>
        <w:rPr>
          <w:rFonts w:hint="eastAsia" w:cs="Times New Roman"/>
          <w:color w:val="000000"/>
          <w:szCs w:val="28"/>
        </w:rPr>
        <w:t>1</w:t>
      </w:r>
      <w:r>
        <w:rPr>
          <w:rFonts w:cs="Times New Roman"/>
          <w:color w:val="000000"/>
          <w:szCs w:val="28"/>
        </w:rPr>
        <w:t>人，每生20000元；省政府奖学金</w:t>
      </w:r>
      <w:r>
        <w:rPr>
          <w:rFonts w:hint="eastAsia" w:cs="Times New Roman"/>
          <w:color w:val="000000"/>
          <w:szCs w:val="28"/>
        </w:rPr>
        <w:t>1</w:t>
      </w:r>
      <w:r>
        <w:rPr>
          <w:rFonts w:cs="Times New Roman"/>
          <w:color w:val="000000"/>
          <w:szCs w:val="28"/>
        </w:rPr>
        <w:t>人，每生10000元。学校和学院层面均建立了相应的奖学金评定制度和规则，如“食品学院研究生国家奖学金评定细则”，自实施以来已根据实际情况修订了两次，现行版本为2019年修订，其它评定制度也适时修订，奖助体系已日趋完善。同时，各导师会视情况给予每位研究生每月200元以上的助研费。</w:t>
      </w:r>
    </w:p>
    <w:p w14:paraId="5F31066F">
      <w:pPr>
        <w:pStyle w:val="2"/>
        <w:spacing w:line="560" w:lineRule="exact"/>
        <w:ind w:firstLine="562"/>
        <w:rPr>
          <w:rFonts w:ascii="Times New Roman" w:hAnsi="Times New Roman" w:eastAsia="宋体" w:cs="Times New Roman"/>
          <w:b/>
          <w:bCs/>
          <w:szCs w:val="28"/>
        </w:rPr>
      </w:pPr>
      <w:r>
        <w:rPr>
          <w:rFonts w:ascii="Times New Roman" w:hAnsi="Times New Roman" w:eastAsia="宋体" w:cs="Times New Roman"/>
          <w:b/>
          <w:bCs/>
          <w:szCs w:val="28"/>
        </w:rPr>
        <w:t>（三）人才培养情况</w:t>
      </w:r>
    </w:p>
    <w:p w14:paraId="11B2E5C0">
      <w:pPr>
        <w:ind w:firstLine="562" w:firstLineChars="200"/>
        <w:rPr>
          <w:rFonts w:cs="Times New Roman"/>
          <w:b/>
          <w:bCs/>
          <w:szCs w:val="28"/>
        </w:rPr>
      </w:pPr>
      <w:r>
        <w:rPr>
          <w:rFonts w:cs="Times New Roman"/>
          <w:b/>
          <w:bCs/>
          <w:szCs w:val="28"/>
        </w:rPr>
        <w:t>1.招生选拔</w:t>
      </w:r>
    </w:p>
    <w:p w14:paraId="1D3AC4EA">
      <w:pPr>
        <w:ind w:firstLine="560" w:firstLineChars="200"/>
        <w:rPr>
          <w:rFonts w:cs="Times New Roman"/>
          <w:color w:val="0000FF"/>
          <w:szCs w:val="28"/>
        </w:rPr>
      </w:pPr>
      <w:r>
        <w:rPr>
          <w:rFonts w:cs="Times New Roman"/>
          <w:color w:val="0000FF"/>
          <w:szCs w:val="28"/>
        </w:rPr>
        <w:t>本年度学位点研究生报考数量、录取比例、录取人数、生源结构等情况，以及为保证生源质量所采取的有措施。</w:t>
      </w:r>
    </w:p>
    <w:p w14:paraId="2F041976">
      <w:pPr>
        <w:pStyle w:val="12"/>
        <w:ind w:left="0" w:leftChars="0" w:firstLine="0" w:firstLineChars="0"/>
        <w:rPr>
          <w:rFonts w:cs="Times New Roman"/>
        </w:rPr>
      </w:pPr>
      <w:r>
        <w:rPr>
          <w:rFonts w:cs="Times New Roman"/>
          <w:szCs w:val="28"/>
        </w:rPr>
        <w:t xml:space="preserve">    </w:t>
      </w:r>
      <w:r>
        <w:rPr>
          <w:rFonts w:hint="eastAsia" w:cs="Times New Roman"/>
          <w:szCs w:val="28"/>
        </w:rPr>
        <w:t>2022</w:t>
      </w:r>
      <w:r>
        <w:rPr>
          <w:rFonts w:cs="Times New Roman"/>
          <w:szCs w:val="28"/>
        </w:rPr>
        <w:t>年度学位点共录取全日制研究生</w:t>
      </w:r>
      <w:r>
        <w:rPr>
          <w:rFonts w:hint="eastAsia" w:cs="Times New Roman"/>
          <w:szCs w:val="28"/>
        </w:rPr>
        <w:t>20</w:t>
      </w:r>
      <w:r>
        <w:rPr>
          <w:rFonts w:cs="Times New Roman"/>
          <w:szCs w:val="28"/>
        </w:rPr>
        <w:t>人</w:t>
      </w:r>
      <w:r>
        <w:rPr>
          <w:rFonts w:hint="eastAsia" w:cs="Times New Roman"/>
          <w:szCs w:val="28"/>
        </w:rPr>
        <w:t>，其中</w:t>
      </w:r>
      <w:r>
        <w:rPr>
          <w:rFonts w:cs="Times New Roman"/>
          <w:szCs w:val="28"/>
        </w:rPr>
        <w:t>保送录取</w:t>
      </w:r>
      <w:r>
        <w:rPr>
          <w:rFonts w:hint="eastAsia" w:cs="Times New Roman"/>
          <w:szCs w:val="28"/>
        </w:rPr>
        <w:t>10</w:t>
      </w:r>
      <w:r>
        <w:rPr>
          <w:rFonts w:cs="Times New Roman"/>
          <w:szCs w:val="28"/>
        </w:rPr>
        <w:t>人</w:t>
      </w:r>
      <w:r>
        <w:rPr>
          <w:rFonts w:hint="eastAsia" w:cs="Times New Roman"/>
          <w:szCs w:val="28"/>
        </w:rPr>
        <w:t>、经</w:t>
      </w:r>
      <w:r>
        <w:rPr>
          <w:rFonts w:cs="Times New Roman"/>
          <w:szCs w:val="28"/>
        </w:rPr>
        <w:t>研究生入学考试录取人数</w:t>
      </w:r>
      <w:r>
        <w:rPr>
          <w:rFonts w:hint="eastAsia" w:cs="Times New Roman"/>
          <w:szCs w:val="28"/>
        </w:rPr>
        <w:t>4</w:t>
      </w:r>
      <w:r>
        <w:rPr>
          <w:rFonts w:cs="Times New Roman"/>
          <w:szCs w:val="28"/>
        </w:rPr>
        <w:t>人</w:t>
      </w:r>
      <w:r>
        <w:rPr>
          <w:rFonts w:hint="eastAsia" w:cs="Times New Roman"/>
          <w:szCs w:val="28"/>
        </w:rPr>
        <w:t>，经调剂录取6人。</w:t>
      </w:r>
      <w:r>
        <w:rPr>
          <w:rFonts w:cs="Times New Roman"/>
          <w:szCs w:val="28"/>
        </w:rPr>
        <w:t>生源结构</w:t>
      </w:r>
      <w:r>
        <w:rPr>
          <w:rFonts w:hint="eastAsia" w:cs="Times New Roman"/>
          <w:szCs w:val="28"/>
        </w:rPr>
        <w:t>：录取的研究生中本科毕业于外校比例为10%，毕业于本校的比例为90</w:t>
      </w:r>
      <w:r>
        <w:rPr>
          <w:rFonts w:cs="Times New Roman"/>
          <w:szCs w:val="28"/>
        </w:rPr>
        <w:t>%。为保证生源质量，学位点积极宣传，每年组织优秀大学生夏令营</w:t>
      </w:r>
      <w:r>
        <w:rPr>
          <w:rFonts w:cs="Times New Roman"/>
        </w:rPr>
        <w:t>，介绍研究生招生和培养情况，吸引优秀生源；同时</w:t>
      </w:r>
      <w:r>
        <w:rPr>
          <w:rFonts w:cs="Times New Roman"/>
          <w:szCs w:val="28"/>
        </w:rPr>
        <w:t>建立优秀新生奖学金制度：凡参加我校组织的优秀大学生夏令营（创新人才培训班）的同学，通过“推免”或“第一志愿报考”录取到我校的全日制硕士研究生（不含定向委培、破格），第一学年可享受新生奖学金10000元；通过“推免”或“第一志愿报考”并被录取到我校的全日制研究生（不含定向委培、破格），第一学年享受新生奖学金8000元。</w:t>
      </w:r>
    </w:p>
    <w:p w14:paraId="2A6BC980">
      <w:pPr>
        <w:pStyle w:val="2"/>
        <w:spacing w:line="560" w:lineRule="exact"/>
        <w:ind w:firstLine="562"/>
        <w:rPr>
          <w:rFonts w:ascii="Times New Roman" w:hAnsi="Times New Roman" w:eastAsia="宋体" w:cs="Times New Roman"/>
          <w:b/>
          <w:bCs/>
          <w:szCs w:val="28"/>
        </w:rPr>
      </w:pPr>
      <w:r>
        <w:rPr>
          <w:rFonts w:ascii="Times New Roman" w:hAnsi="Times New Roman" w:eastAsia="宋体" w:cs="Times New Roman"/>
          <w:b/>
          <w:bCs/>
          <w:szCs w:val="28"/>
        </w:rPr>
        <w:t>2.思政教育</w:t>
      </w:r>
    </w:p>
    <w:p w14:paraId="11AE379C">
      <w:pPr>
        <w:ind w:firstLine="560" w:firstLineChars="200"/>
        <w:rPr>
          <w:rFonts w:cs="Times New Roman"/>
          <w:color w:val="0000FF"/>
          <w:szCs w:val="28"/>
        </w:rPr>
      </w:pPr>
      <w:r>
        <w:rPr>
          <w:rFonts w:cs="Times New Roman"/>
          <w:color w:val="0000FF"/>
          <w:szCs w:val="28"/>
        </w:rPr>
        <w:t>本学位点本年度思想政治理论课开设、课程思政、研究生辅导员队伍建设、研究生党建工作等情况。</w:t>
      </w:r>
    </w:p>
    <w:p w14:paraId="6639D4D3">
      <w:pPr>
        <w:pStyle w:val="12"/>
        <w:ind w:left="0" w:leftChars="0" w:firstLine="560" w:firstLineChars="200"/>
        <w:rPr>
          <w:rFonts w:cs="Times New Roman"/>
        </w:rPr>
      </w:pPr>
      <w:r>
        <w:rPr>
          <w:rFonts w:cs="Times New Roman"/>
          <w:color w:val="000000"/>
          <w:szCs w:val="28"/>
        </w:rPr>
        <w:t>学位点</w:t>
      </w:r>
      <w:r>
        <w:rPr>
          <w:rFonts w:cs="Times New Roman"/>
        </w:rPr>
        <w:t>非常重视思想政治教育，共开设了中国特色社会主义理论与实践、现代农业创新与乡村振兴战略、自然辩证法、中国哲学与智慧4门思想政治理论课；在学校和学院的指导和安排下，各任课教师均在教学中加入了课程思政元素，把思政教育融入到了日常的教学之中</w:t>
      </w:r>
      <w:r>
        <w:rPr>
          <w:rFonts w:hint="eastAsia" w:cs="Times New Roman"/>
        </w:rPr>
        <w:t>。</w:t>
      </w:r>
      <w:r>
        <w:rPr>
          <w:rFonts w:cs="Times New Roman"/>
        </w:rPr>
        <w:t>以党委理论学习中心组学习、党员活动日、学习强国和赣鄱党建云 APP 等形式，深入学习了 2022 年两会</w:t>
      </w:r>
      <w:bookmarkStart w:id="0" w:name="_GoBack"/>
      <w:bookmarkEnd w:id="0"/>
      <w:r>
        <w:rPr>
          <w:rFonts w:cs="Times New Roman"/>
        </w:rPr>
        <w:t>精神、习近平总书记在庆祝共青团成立 100 周年讲话精神、党的二十大精神，切实增强“四个意识”、坚定“四个自信”、做到“两个维护”。学院以金扁担党建品牌“党支部一体化”建设为抓手，提升党建工作水平，持续巩固党史学习教育和党建“三化”成果，推动“书香书苑”特色品牌。邀请了校党委委员、副校长曾志将、校“金扁担”宣讲团潘锡杨老师为师生做党的二十大精神学习宣传教育辅导报告。各级党组织创新党员活动形式，理论学习邀请专家有深度、党员活动实地教学有创新，组织学院师生赴江西省图书馆参观《奋进新时代、书写新荣光——喜迎党的二十大 苏区振兴十周年成就展》，开展联合主题党日活动，申报了歌咏党课课题，开展了歌咏党课展演活动。通过书记、院长上党课、教工党员微党课，课程思政竞赛；牢牢把握思想引领主动权，切实提高政治站位，充分利用网络新媒体平台开展健康向上、生动活泼的网上思想政治教育活动。</w:t>
      </w:r>
    </w:p>
    <w:p w14:paraId="69207182">
      <w:pPr>
        <w:ind w:firstLine="621"/>
        <w:rPr>
          <w:rFonts w:cs="Times New Roman"/>
          <w:b/>
          <w:bCs/>
          <w:szCs w:val="28"/>
        </w:rPr>
      </w:pPr>
      <w:r>
        <w:rPr>
          <w:rFonts w:cs="Times New Roman"/>
          <w:b/>
          <w:bCs/>
          <w:szCs w:val="28"/>
        </w:rPr>
        <w:t>3.课程教学</w:t>
      </w:r>
    </w:p>
    <w:p w14:paraId="61B04427">
      <w:pPr>
        <w:ind w:firstLine="560" w:firstLineChars="200"/>
        <w:rPr>
          <w:rFonts w:cs="Times New Roman"/>
          <w:color w:val="0000FF"/>
          <w:szCs w:val="28"/>
        </w:rPr>
      </w:pPr>
      <w:r>
        <w:rPr>
          <w:rFonts w:cs="Times New Roman"/>
          <w:color w:val="0000FF"/>
          <w:szCs w:val="28"/>
        </w:rPr>
        <w:t>本学位点开本年度设的核心课程及主讲教师，课程教学质量和持续改进机制，教材建设、教学成果、教改项目等情况。</w:t>
      </w:r>
    </w:p>
    <w:p w14:paraId="0685B860">
      <w:pPr>
        <w:pStyle w:val="14"/>
        <w:adjustRightInd w:val="0"/>
        <w:snapToGrid w:val="0"/>
        <w:ind w:firstLine="560"/>
        <w:rPr>
          <w:rFonts w:cs="Times New Roman"/>
          <w:color w:val="000000"/>
          <w:szCs w:val="28"/>
        </w:rPr>
      </w:pPr>
      <w:r>
        <w:rPr>
          <w:rFonts w:cs="Times New Roman"/>
          <w:color w:val="000000"/>
          <w:szCs w:val="28"/>
        </w:rPr>
        <w:t>学位点开本年度设《食品科学与技术进展》、《现代食品化学》、《试验设计与统计分析》等专业核心课程18门，由教学经验丰富、科研业绩突出的有博士学位或副教授以上职称老师授课。</w:t>
      </w:r>
      <w:r>
        <w:rPr>
          <w:rFonts w:hint="eastAsia" w:cs="Times New Roman"/>
          <w:color w:val="000000"/>
          <w:szCs w:val="28"/>
        </w:rPr>
        <w:t>详细情况如下表：</w:t>
      </w:r>
    </w:p>
    <w:tbl>
      <w:tblPr>
        <w:tblStyle w:val="7"/>
        <w:tblW w:w="5178"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1048"/>
        <w:gridCol w:w="1683"/>
        <w:gridCol w:w="1101"/>
        <w:gridCol w:w="975"/>
        <w:gridCol w:w="1161"/>
        <w:gridCol w:w="1369"/>
        <w:gridCol w:w="1296"/>
      </w:tblGrid>
      <w:tr w14:paraId="6877977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8" w:hRule="atLeast"/>
        </w:trPr>
        <w:tc>
          <w:tcPr>
            <w:tcW w:w="607" w:type="pct"/>
            <w:vMerge w:val="restart"/>
            <w:tcBorders>
              <w:bottom w:val="single" w:color="000000" w:sz="4" w:space="0"/>
              <w:right w:val="single" w:color="000000" w:sz="4" w:space="0"/>
            </w:tcBorders>
            <w:vAlign w:val="center"/>
          </w:tcPr>
          <w:p w14:paraId="6E1C4D09">
            <w:pPr>
              <w:widowControl w:val="0"/>
              <w:autoSpaceDE w:val="0"/>
              <w:autoSpaceDN w:val="0"/>
              <w:spacing w:before="137" w:line="240" w:lineRule="auto"/>
              <w:ind w:firstLine="0" w:firstLineChars="0"/>
              <w:rPr>
                <w:rFonts w:ascii="仿宋" w:hAnsi="仿宋" w:eastAsia="仿宋" w:cs="仿宋"/>
                <w:sz w:val="24"/>
                <w:szCs w:val="24"/>
                <w:lang w:val="zh-CN" w:bidi="zh-CN"/>
              </w:rPr>
            </w:pPr>
            <w:r>
              <w:rPr>
                <w:rFonts w:ascii="仿宋" w:hAnsi="仿宋" w:eastAsia="仿宋" w:cs="仿宋"/>
                <w:sz w:val="24"/>
                <w:szCs w:val="24"/>
                <w:lang w:val="zh-CN" w:bidi="zh-CN"/>
              </w:rPr>
              <w:t>序号</w:t>
            </w:r>
          </w:p>
        </w:tc>
        <w:tc>
          <w:tcPr>
            <w:tcW w:w="974" w:type="pct"/>
            <w:vMerge w:val="restart"/>
            <w:tcBorders>
              <w:left w:val="single" w:color="000000" w:sz="4" w:space="0"/>
              <w:bottom w:val="single" w:color="000000" w:sz="4" w:space="0"/>
              <w:right w:val="single" w:color="000000" w:sz="4" w:space="0"/>
            </w:tcBorders>
            <w:vAlign w:val="center"/>
          </w:tcPr>
          <w:p w14:paraId="3BF447CF">
            <w:pPr>
              <w:widowControl w:val="0"/>
              <w:autoSpaceDE w:val="0"/>
              <w:autoSpaceDN w:val="0"/>
              <w:spacing w:before="137" w:line="240" w:lineRule="auto"/>
              <w:ind w:firstLine="0" w:firstLineChars="0"/>
              <w:rPr>
                <w:rFonts w:ascii="仿宋" w:hAnsi="仿宋" w:eastAsia="仿宋" w:cs="仿宋"/>
                <w:sz w:val="24"/>
                <w:szCs w:val="24"/>
                <w:lang w:val="zh-CN" w:bidi="zh-CN"/>
              </w:rPr>
            </w:pPr>
            <w:r>
              <w:rPr>
                <w:rFonts w:ascii="仿宋" w:hAnsi="仿宋" w:eastAsia="仿宋" w:cs="仿宋"/>
                <w:sz w:val="24"/>
                <w:szCs w:val="24"/>
                <w:lang w:val="zh-CN" w:bidi="zh-CN"/>
              </w:rPr>
              <w:t>课程名称</w:t>
            </w:r>
          </w:p>
        </w:tc>
        <w:tc>
          <w:tcPr>
            <w:tcW w:w="637" w:type="pct"/>
            <w:vMerge w:val="restart"/>
            <w:tcBorders>
              <w:left w:val="single" w:color="000000" w:sz="4" w:space="0"/>
              <w:bottom w:val="single" w:color="000000" w:sz="4" w:space="0"/>
              <w:right w:val="single" w:color="000000" w:sz="4" w:space="0"/>
            </w:tcBorders>
            <w:vAlign w:val="center"/>
          </w:tcPr>
          <w:p w14:paraId="6F583D57">
            <w:pPr>
              <w:widowControl w:val="0"/>
              <w:autoSpaceDE w:val="0"/>
              <w:autoSpaceDN w:val="0"/>
              <w:spacing w:before="137" w:line="240" w:lineRule="auto"/>
              <w:ind w:firstLine="0" w:firstLineChars="0"/>
              <w:rPr>
                <w:rFonts w:ascii="仿宋" w:hAnsi="仿宋" w:eastAsia="仿宋" w:cs="仿宋"/>
                <w:sz w:val="24"/>
                <w:szCs w:val="24"/>
                <w:lang w:val="zh-CN" w:bidi="zh-CN"/>
              </w:rPr>
            </w:pPr>
            <w:r>
              <w:rPr>
                <w:rFonts w:ascii="仿宋" w:hAnsi="仿宋" w:eastAsia="仿宋" w:cs="仿宋"/>
                <w:sz w:val="24"/>
                <w:szCs w:val="24"/>
                <w:lang w:val="zh-CN" w:bidi="zh-CN"/>
              </w:rPr>
              <w:t>课程类型</w:t>
            </w:r>
          </w:p>
        </w:tc>
        <w:tc>
          <w:tcPr>
            <w:tcW w:w="1236" w:type="pct"/>
            <w:gridSpan w:val="2"/>
            <w:tcBorders>
              <w:left w:val="single" w:color="000000" w:sz="4" w:space="0"/>
              <w:bottom w:val="single" w:color="000000" w:sz="4" w:space="0"/>
              <w:right w:val="single" w:color="auto" w:sz="4" w:space="0"/>
            </w:tcBorders>
            <w:vAlign w:val="center"/>
          </w:tcPr>
          <w:p w14:paraId="56798597">
            <w:pPr>
              <w:widowControl w:val="0"/>
              <w:tabs>
                <w:tab w:val="left" w:pos="445"/>
                <w:tab w:val="left" w:pos="865"/>
                <w:tab w:val="left" w:pos="1285"/>
              </w:tabs>
              <w:autoSpaceDE w:val="0"/>
              <w:autoSpaceDN w:val="0"/>
              <w:spacing w:before="103" w:line="240" w:lineRule="auto"/>
              <w:ind w:left="25" w:firstLine="530"/>
              <w:jc w:val="center"/>
              <w:rPr>
                <w:rFonts w:ascii="仿宋" w:hAnsi="仿宋" w:eastAsia="仿宋" w:cs="仿宋"/>
                <w:sz w:val="24"/>
                <w:szCs w:val="24"/>
                <w:lang w:val="zh-CN" w:bidi="zh-CN"/>
              </w:rPr>
            </w:pPr>
            <w:r>
              <w:rPr>
                <w:rFonts w:ascii="仿宋" w:hAnsi="仿宋" w:eastAsia="仿宋" w:cs="仿宋"/>
                <w:sz w:val="24"/>
                <w:szCs w:val="24"/>
                <w:lang w:val="zh-CN" w:bidi="zh-CN"/>
              </w:rPr>
              <w:t>主</w:t>
            </w:r>
            <w:r>
              <w:rPr>
                <w:rFonts w:ascii="仿宋" w:hAnsi="仿宋" w:eastAsia="仿宋" w:cs="仿宋"/>
                <w:sz w:val="24"/>
                <w:szCs w:val="24"/>
                <w:lang w:val="zh-CN" w:bidi="zh-CN"/>
              </w:rPr>
              <w:tab/>
            </w:r>
            <w:r>
              <w:rPr>
                <w:rFonts w:ascii="仿宋" w:hAnsi="仿宋" w:eastAsia="仿宋" w:cs="仿宋"/>
                <w:sz w:val="24"/>
                <w:szCs w:val="24"/>
                <w:lang w:val="zh-CN" w:bidi="zh-CN"/>
              </w:rPr>
              <w:t>讲</w:t>
            </w:r>
            <w:r>
              <w:rPr>
                <w:rFonts w:ascii="仿宋" w:hAnsi="仿宋" w:eastAsia="仿宋" w:cs="仿宋"/>
                <w:sz w:val="24"/>
                <w:szCs w:val="24"/>
                <w:lang w:val="zh-CN" w:bidi="zh-CN"/>
              </w:rPr>
              <w:tab/>
            </w:r>
            <w:r>
              <w:rPr>
                <w:rFonts w:ascii="仿宋" w:hAnsi="仿宋" w:eastAsia="仿宋" w:cs="仿宋"/>
                <w:sz w:val="24"/>
                <w:szCs w:val="24"/>
                <w:lang w:val="zh-CN" w:bidi="zh-CN"/>
              </w:rPr>
              <w:t>教</w:t>
            </w:r>
            <w:r>
              <w:rPr>
                <w:rFonts w:ascii="仿宋" w:hAnsi="仿宋" w:eastAsia="仿宋" w:cs="仿宋"/>
                <w:sz w:val="24"/>
                <w:szCs w:val="24"/>
                <w:lang w:val="zh-CN" w:bidi="zh-CN"/>
              </w:rPr>
              <w:tab/>
            </w:r>
            <w:r>
              <w:rPr>
                <w:rFonts w:ascii="仿宋" w:hAnsi="仿宋" w:eastAsia="仿宋" w:cs="仿宋"/>
                <w:sz w:val="24"/>
                <w:szCs w:val="24"/>
                <w:lang w:val="zh-CN" w:bidi="zh-CN"/>
              </w:rPr>
              <w:t>师</w:t>
            </w:r>
          </w:p>
        </w:tc>
        <w:tc>
          <w:tcPr>
            <w:tcW w:w="792" w:type="pct"/>
            <w:vMerge w:val="restart"/>
            <w:tcBorders>
              <w:left w:val="single" w:color="000000" w:sz="4" w:space="0"/>
              <w:bottom w:val="single" w:color="000000" w:sz="4" w:space="0"/>
              <w:right w:val="single" w:color="000000" w:sz="4" w:space="0"/>
            </w:tcBorders>
            <w:vAlign w:val="center"/>
          </w:tcPr>
          <w:p w14:paraId="62813215">
            <w:pPr>
              <w:widowControl w:val="0"/>
              <w:autoSpaceDE w:val="0"/>
              <w:autoSpaceDN w:val="0"/>
              <w:spacing w:line="240" w:lineRule="auto"/>
              <w:ind w:firstLine="530"/>
              <w:jc w:val="center"/>
              <w:rPr>
                <w:rFonts w:ascii="宋体" w:hAnsi="仿宋" w:eastAsia="仿宋" w:cs="仿宋"/>
                <w:sz w:val="24"/>
                <w:szCs w:val="24"/>
                <w:lang w:val="zh-CN" w:bidi="zh-CN"/>
              </w:rPr>
            </w:pPr>
          </w:p>
          <w:p w14:paraId="40CA3EFE">
            <w:pPr>
              <w:widowControl w:val="0"/>
              <w:autoSpaceDE w:val="0"/>
              <w:autoSpaceDN w:val="0"/>
              <w:spacing w:line="242" w:lineRule="auto"/>
              <w:ind w:right="81" w:firstLine="0" w:firstLineChars="0"/>
              <w:jc w:val="center"/>
              <w:rPr>
                <w:rFonts w:ascii="仿宋" w:hAnsi="仿宋" w:eastAsia="仿宋" w:cs="仿宋"/>
                <w:sz w:val="24"/>
                <w:szCs w:val="24"/>
                <w:lang w:val="zh-CN" w:bidi="zh-CN"/>
              </w:rPr>
            </w:pPr>
            <w:r>
              <w:rPr>
                <w:rFonts w:ascii="仿宋" w:hAnsi="仿宋" w:eastAsia="仿宋" w:cs="仿宋"/>
                <w:sz w:val="24"/>
                <w:szCs w:val="24"/>
                <w:lang w:val="zh-CN" w:bidi="zh-CN"/>
              </w:rPr>
              <w:t>学时/学分</w:t>
            </w:r>
          </w:p>
        </w:tc>
        <w:tc>
          <w:tcPr>
            <w:tcW w:w="750" w:type="pct"/>
            <w:vMerge w:val="restart"/>
            <w:tcBorders>
              <w:left w:val="single" w:color="000000" w:sz="4" w:space="0"/>
              <w:bottom w:val="single" w:color="000000" w:sz="4" w:space="0"/>
            </w:tcBorders>
            <w:vAlign w:val="center"/>
          </w:tcPr>
          <w:p w14:paraId="17DA94D7">
            <w:pPr>
              <w:widowControl w:val="0"/>
              <w:autoSpaceDE w:val="0"/>
              <w:autoSpaceDN w:val="0"/>
              <w:spacing w:line="240" w:lineRule="auto"/>
              <w:ind w:firstLine="530"/>
              <w:jc w:val="center"/>
              <w:rPr>
                <w:rFonts w:ascii="宋体" w:hAnsi="仿宋" w:eastAsia="仿宋" w:cs="仿宋"/>
                <w:sz w:val="24"/>
                <w:szCs w:val="24"/>
                <w:lang w:val="zh-CN" w:bidi="zh-CN"/>
              </w:rPr>
            </w:pPr>
          </w:p>
          <w:p w14:paraId="7E192EF0">
            <w:pPr>
              <w:widowControl w:val="0"/>
              <w:autoSpaceDE w:val="0"/>
              <w:autoSpaceDN w:val="0"/>
              <w:spacing w:line="242" w:lineRule="auto"/>
              <w:ind w:right="187" w:firstLine="0" w:firstLineChars="0"/>
              <w:jc w:val="center"/>
              <w:rPr>
                <w:rFonts w:ascii="仿宋" w:hAnsi="仿宋" w:eastAsia="仿宋" w:cs="仿宋"/>
                <w:sz w:val="24"/>
                <w:szCs w:val="24"/>
                <w:lang w:val="zh-CN" w:bidi="zh-CN"/>
              </w:rPr>
            </w:pPr>
            <w:r>
              <w:rPr>
                <w:rFonts w:ascii="仿宋" w:hAnsi="仿宋" w:eastAsia="仿宋" w:cs="仿宋"/>
                <w:sz w:val="24"/>
                <w:szCs w:val="24"/>
                <w:lang w:val="zh-CN" w:bidi="zh-CN"/>
              </w:rPr>
              <w:t>授课语言</w:t>
            </w:r>
          </w:p>
        </w:tc>
      </w:tr>
      <w:tr w14:paraId="14D9480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vMerge w:val="continue"/>
            <w:tcBorders>
              <w:top w:val="nil"/>
              <w:bottom w:val="single" w:color="000000" w:sz="4" w:space="0"/>
              <w:right w:val="single" w:color="000000" w:sz="4" w:space="0"/>
            </w:tcBorders>
            <w:vAlign w:val="center"/>
          </w:tcPr>
          <w:p w14:paraId="2CD8F462">
            <w:pPr>
              <w:widowControl w:val="0"/>
              <w:autoSpaceDE w:val="0"/>
              <w:autoSpaceDN w:val="0"/>
              <w:spacing w:line="240" w:lineRule="auto"/>
              <w:ind w:firstLine="0" w:firstLineChars="0"/>
              <w:jc w:val="center"/>
              <w:rPr>
                <w:rFonts w:ascii="仿宋" w:hAnsi="仿宋" w:eastAsia="仿宋" w:cs="仿宋"/>
                <w:kern w:val="0"/>
                <w:sz w:val="2"/>
                <w:szCs w:val="2"/>
                <w:lang w:val="zh-CN" w:bidi="zh-CN"/>
              </w:rPr>
            </w:pPr>
          </w:p>
        </w:tc>
        <w:tc>
          <w:tcPr>
            <w:tcW w:w="974" w:type="pct"/>
            <w:vMerge w:val="continue"/>
            <w:tcBorders>
              <w:top w:val="nil"/>
              <w:left w:val="single" w:color="000000" w:sz="4" w:space="0"/>
              <w:bottom w:val="single" w:color="000000" w:sz="4" w:space="0"/>
              <w:right w:val="single" w:color="000000" w:sz="4" w:space="0"/>
            </w:tcBorders>
            <w:vAlign w:val="center"/>
          </w:tcPr>
          <w:p w14:paraId="07383C91">
            <w:pPr>
              <w:widowControl w:val="0"/>
              <w:autoSpaceDE w:val="0"/>
              <w:autoSpaceDN w:val="0"/>
              <w:spacing w:line="240" w:lineRule="auto"/>
              <w:ind w:firstLine="0" w:firstLineChars="0"/>
              <w:jc w:val="center"/>
              <w:rPr>
                <w:rFonts w:ascii="仿宋" w:hAnsi="仿宋" w:eastAsia="仿宋" w:cs="仿宋"/>
                <w:kern w:val="0"/>
                <w:sz w:val="2"/>
                <w:szCs w:val="2"/>
                <w:lang w:val="zh-CN" w:bidi="zh-CN"/>
              </w:rPr>
            </w:pPr>
          </w:p>
        </w:tc>
        <w:tc>
          <w:tcPr>
            <w:tcW w:w="637" w:type="pct"/>
            <w:vMerge w:val="continue"/>
            <w:tcBorders>
              <w:top w:val="nil"/>
              <w:left w:val="single" w:color="000000" w:sz="4" w:space="0"/>
              <w:bottom w:val="single" w:color="000000" w:sz="4" w:space="0"/>
              <w:right w:val="single" w:color="000000" w:sz="4" w:space="0"/>
            </w:tcBorders>
            <w:vAlign w:val="center"/>
          </w:tcPr>
          <w:p w14:paraId="4D636639">
            <w:pPr>
              <w:widowControl w:val="0"/>
              <w:autoSpaceDE w:val="0"/>
              <w:autoSpaceDN w:val="0"/>
              <w:spacing w:line="240" w:lineRule="auto"/>
              <w:ind w:firstLine="0" w:firstLineChars="0"/>
              <w:jc w:val="center"/>
              <w:rPr>
                <w:rFonts w:ascii="仿宋" w:hAnsi="仿宋" w:eastAsia="仿宋" w:cs="仿宋"/>
                <w:kern w:val="0"/>
                <w:sz w:val="2"/>
                <w:szCs w:val="2"/>
                <w:lang w:val="zh-CN" w:bidi="zh-CN"/>
              </w:rPr>
            </w:pPr>
          </w:p>
        </w:tc>
        <w:tc>
          <w:tcPr>
            <w:tcW w:w="564" w:type="pct"/>
            <w:tcBorders>
              <w:top w:val="single" w:color="000000" w:sz="4" w:space="0"/>
              <w:left w:val="single" w:color="000000" w:sz="4" w:space="0"/>
              <w:bottom w:val="single" w:color="000000" w:sz="4" w:space="0"/>
              <w:right w:val="single" w:color="000000" w:sz="4" w:space="0"/>
            </w:tcBorders>
            <w:vAlign w:val="center"/>
          </w:tcPr>
          <w:p w14:paraId="3A611C0A">
            <w:pPr>
              <w:widowControl w:val="0"/>
              <w:tabs>
                <w:tab w:val="left" w:pos="644"/>
              </w:tabs>
              <w:autoSpaceDE w:val="0"/>
              <w:autoSpaceDN w:val="0"/>
              <w:spacing w:before="147" w:line="240" w:lineRule="auto"/>
              <w:ind w:firstLine="0" w:firstLineChars="0"/>
              <w:jc w:val="center"/>
              <w:rPr>
                <w:rFonts w:ascii="仿宋" w:hAnsi="仿宋" w:eastAsia="仿宋" w:cs="仿宋"/>
                <w:sz w:val="18"/>
                <w:szCs w:val="18"/>
                <w:lang w:val="zh-CN" w:bidi="zh-CN"/>
              </w:rPr>
            </w:pPr>
            <w:r>
              <w:rPr>
                <w:rFonts w:ascii="仿宋" w:hAnsi="仿宋" w:eastAsia="仿宋" w:cs="仿宋"/>
                <w:sz w:val="18"/>
                <w:szCs w:val="18"/>
                <w:lang w:val="zh-CN" w:bidi="zh-CN"/>
              </w:rPr>
              <w:t>姓名</w:t>
            </w:r>
          </w:p>
        </w:tc>
        <w:tc>
          <w:tcPr>
            <w:tcW w:w="672" w:type="pct"/>
            <w:tcBorders>
              <w:top w:val="single" w:color="000000" w:sz="4" w:space="0"/>
              <w:left w:val="single" w:color="000000" w:sz="4" w:space="0"/>
              <w:bottom w:val="single" w:color="000000" w:sz="4" w:space="0"/>
              <w:right w:val="single" w:color="000000" w:sz="4" w:space="0"/>
            </w:tcBorders>
            <w:vAlign w:val="center"/>
          </w:tcPr>
          <w:p w14:paraId="13C0768B">
            <w:pPr>
              <w:widowControl w:val="0"/>
              <w:tabs>
                <w:tab w:val="left" w:pos="602"/>
              </w:tabs>
              <w:autoSpaceDE w:val="0"/>
              <w:autoSpaceDN w:val="0"/>
              <w:spacing w:before="12" w:line="270" w:lineRule="atLeast"/>
              <w:ind w:right="47" w:firstLine="0" w:firstLineChars="0"/>
              <w:jc w:val="center"/>
              <w:rPr>
                <w:rFonts w:ascii="仿宋" w:hAnsi="仿宋" w:eastAsia="仿宋" w:cs="仿宋"/>
                <w:sz w:val="18"/>
                <w:szCs w:val="18"/>
                <w:lang w:val="zh-CN" w:bidi="zh-CN"/>
              </w:rPr>
            </w:pPr>
            <w:r>
              <w:rPr>
                <w:rFonts w:ascii="仿宋" w:hAnsi="仿宋" w:eastAsia="仿宋" w:cs="仿宋"/>
                <w:sz w:val="18"/>
                <w:szCs w:val="18"/>
                <w:lang w:val="zh-CN" w:bidi="zh-CN"/>
              </w:rPr>
              <w:t>专业技术职务</w:t>
            </w:r>
          </w:p>
        </w:tc>
        <w:tc>
          <w:tcPr>
            <w:tcW w:w="792" w:type="pct"/>
            <w:vMerge w:val="continue"/>
            <w:tcBorders>
              <w:top w:val="nil"/>
              <w:left w:val="single" w:color="000000" w:sz="4" w:space="0"/>
              <w:bottom w:val="single" w:color="000000" w:sz="4" w:space="0"/>
              <w:right w:val="single" w:color="000000" w:sz="4" w:space="0"/>
            </w:tcBorders>
            <w:vAlign w:val="center"/>
          </w:tcPr>
          <w:p w14:paraId="23B4BB32">
            <w:pPr>
              <w:widowControl w:val="0"/>
              <w:autoSpaceDE w:val="0"/>
              <w:autoSpaceDN w:val="0"/>
              <w:spacing w:line="240" w:lineRule="auto"/>
              <w:ind w:firstLine="0" w:firstLineChars="0"/>
              <w:jc w:val="center"/>
              <w:rPr>
                <w:rFonts w:ascii="仿宋" w:hAnsi="仿宋" w:eastAsia="仿宋" w:cs="仿宋"/>
                <w:kern w:val="0"/>
                <w:sz w:val="2"/>
                <w:szCs w:val="2"/>
                <w:lang w:val="zh-CN" w:bidi="zh-CN"/>
              </w:rPr>
            </w:pPr>
          </w:p>
        </w:tc>
        <w:tc>
          <w:tcPr>
            <w:tcW w:w="750" w:type="pct"/>
            <w:vMerge w:val="continue"/>
            <w:tcBorders>
              <w:top w:val="nil"/>
              <w:left w:val="single" w:color="000000" w:sz="4" w:space="0"/>
              <w:bottom w:val="single" w:color="000000" w:sz="4" w:space="0"/>
            </w:tcBorders>
            <w:vAlign w:val="center"/>
          </w:tcPr>
          <w:p w14:paraId="261DD12A">
            <w:pPr>
              <w:widowControl w:val="0"/>
              <w:autoSpaceDE w:val="0"/>
              <w:autoSpaceDN w:val="0"/>
              <w:spacing w:line="240" w:lineRule="auto"/>
              <w:ind w:firstLine="0" w:firstLineChars="0"/>
              <w:jc w:val="center"/>
              <w:rPr>
                <w:rFonts w:ascii="仿宋" w:hAnsi="仿宋" w:eastAsia="仿宋" w:cs="仿宋"/>
                <w:kern w:val="0"/>
                <w:sz w:val="2"/>
                <w:szCs w:val="2"/>
                <w:lang w:val="zh-CN" w:bidi="zh-CN"/>
              </w:rPr>
            </w:pPr>
          </w:p>
        </w:tc>
      </w:tr>
      <w:tr w14:paraId="4C41429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07" w:type="pct"/>
            <w:tcBorders>
              <w:top w:val="single" w:color="000000" w:sz="4" w:space="0"/>
              <w:bottom w:val="single" w:color="000000" w:sz="4" w:space="0"/>
              <w:right w:val="single" w:color="000000" w:sz="4" w:space="0"/>
            </w:tcBorders>
            <w:vAlign w:val="center"/>
          </w:tcPr>
          <w:p w14:paraId="01DEDE2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w:t>
            </w:r>
          </w:p>
        </w:tc>
        <w:tc>
          <w:tcPr>
            <w:tcW w:w="974" w:type="pct"/>
            <w:tcBorders>
              <w:top w:val="single" w:color="000000" w:sz="4" w:space="0"/>
              <w:left w:val="single" w:color="000000" w:sz="4" w:space="0"/>
              <w:bottom w:val="single" w:color="000000" w:sz="4" w:space="0"/>
              <w:right w:val="single" w:color="000000" w:sz="4" w:space="0"/>
            </w:tcBorders>
            <w:vAlign w:val="center"/>
          </w:tcPr>
          <w:p w14:paraId="0C6DA21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食品科学与技术进展</w:t>
            </w:r>
          </w:p>
        </w:tc>
        <w:tc>
          <w:tcPr>
            <w:tcW w:w="637" w:type="pct"/>
            <w:tcBorders>
              <w:top w:val="single" w:color="000000" w:sz="4" w:space="0"/>
              <w:left w:val="single" w:color="000000" w:sz="4" w:space="0"/>
              <w:bottom w:val="single" w:color="000000" w:sz="4" w:space="0"/>
              <w:right w:val="single" w:color="000000" w:sz="4" w:space="0"/>
            </w:tcBorders>
            <w:vAlign w:val="center"/>
          </w:tcPr>
          <w:p w14:paraId="5458B100">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专业必修课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6EECB2F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徐明生</w:t>
            </w:r>
          </w:p>
        </w:tc>
        <w:tc>
          <w:tcPr>
            <w:tcW w:w="672" w:type="pct"/>
            <w:tcBorders>
              <w:top w:val="single" w:color="000000" w:sz="4" w:space="0"/>
              <w:left w:val="single" w:color="000000" w:sz="4" w:space="0"/>
              <w:bottom w:val="single" w:color="000000" w:sz="4" w:space="0"/>
              <w:right w:val="single" w:color="000000" w:sz="4" w:space="0"/>
            </w:tcBorders>
            <w:vAlign w:val="center"/>
          </w:tcPr>
          <w:p w14:paraId="0F8BC98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40C0BA6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23DAE3F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6436C3D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473BB9C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2</w:t>
            </w:r>
          </w:p>
        </w:tc>
        <w:tc>
          <w:tcPr>
            <w:tcW w:w="974" w:type="pct"/>
            <w:tcBorders>
              <w:top w:val="single" w:color="000000" w:sz="4" w:space="0"/>
              <w:left w:val="single" w:color="000000" w:sz="4" w:space="0"/>
              <w:bottom w:val="single" w:color="000000" w:sz="4" w:space="0"/>
              <w:right w:val="single" w:color="000000" w:sz="4" w:space="0"/>
            </w:tcBorders>
            <w:vAlign w:val="center"/>
          </w:tcPr>
          <w:p w14:paraId="01082B2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试验设计与统计分析</w:t>
            </w:r>
          </w:p>
        </w:tc>
        <w:tc>
          <w:tcPr>
            <w:tcW w:w="637" w:type="pct"/>
            <w:tcBorders>
              <w:top w:val="single" w:color="000000" w:sz="4" w:space="0"/>
              <w:left w:val="single" w:color="000000" w:sz="4" w:space="0"/>
              <w:bottom w:val="single" w:color="000000" w:sz="4" w:space="0"/>
              <w:right w:val="single" w:color="000000" w:sz="4" w:space="0"/>
            </w:tcBorders>
            <w:vAlign w:val="center"/>
          </w:tcPr>
          <w:p w14:paraId="169FB17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专业必修课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517B1C8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沈勇根</w:t>
            </w:r>
          </w:p>
        </w:tc>
        <w:tc>
          <w:tcPr>
            <w:tcW w:w="672" w:type="pct"/>
            <w:tcBorders>
              <w:top w:val="single" w:color="000000" w:sz="4" w:space="0"/>
              <w:left w:val="single" w:color="000000" w:sz="4" w:space="0"/>
              <w:bottom w:val="single" w:color="000000" w:sz="4" w:space="0"/>
              <w:right w:val="single" w:color="000000" w:sz="4" w:space="0"/>
            </w:tcBorders>
            <w:vAlign w:val="center"/>
          </w:tcPr>
          <w:p w14:paraId="23034AA6">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5A49AB7F">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249E6CE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58BA61A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343F39C8">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w:t>
            </w:r>
          </w:p>
        </w:tc>
        <w:tc>
          <w:tcPr>
            <w:tcW w:w="974" w:type="pct"/>
            <w:tcBorders>
              <w:top w:val="single" w:color="000000" w:sz="4" w:space="0"/>
              <w:left w:val="single" w:color="000000" w:sz="4" w:space="0"/>
              <w:bottom w:val="single" w:color="000000" w:sz="4" w:space="0"/>
              <w:right w:val="single" w:color="000000" w:sz="4" w:space="0"/>
            </w:tcBorders>
            <w:vAlign w:val="center"/>
          </w:tcPr>
          <w:p w14:paraId="2BB4834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现代食品化学</w:t>
            </w:r>
          </w:p>
        </w:tc>
        <w:tc>
          <w:tcPr>
            <w:tcW w:w="637" w:type="pct"/>
            <w:tcBorders>
              <w:top w:val="single" w:color="000000" w:sz="4" w:space="0"/>
              <w:left w:val="single" w:color="000000" w:sz="4" w:space="0"/>
              <w:bottom w:val="single" w:color="000000" w:sz="4" w:space="0"/>
              <w:right w:val="single" w:color="000000" w:sz="4" w:space="0"/>
            </w:tcBorders>
            <w:vAlign w:val="center"/>
          </w:tcPr>
          <w:p w14:paraId="177B3E2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专业必修课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41A4D45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王文君</w:t>
            </w:r>
          </w:p>
        </w:tc>
        <w:tc>
          <w:tcPr>
            <w:tcW w:w="672" w:type="pct"/>
            <w:tcBorders>
              <w:top w:val="single" w:color="000000" w:sz="4" w:space="0"/>
              <w:left w:val="single" w:color="000000" w:sz="4" w:space="0"/>
              <w:bottom w:val="single" w:color="000000" w:sz="4" w:space="0"/>
              <w:right w:val="single" w:color="000000" w:sz="4" w:space="0"/>
            </w:tcBorders>
            <w:vAlign w:val="center"/>
          </w:tcPr>
          <w:p w14:paraId="45874180">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2230101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399174AD">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英文</w:t>
            </w:r>
          </w:p>
        </w:tc>
      </w:tr>
      <w:tr w14:paraId="127DA1D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07" w:type="pct"/>
            <w:tcBorders>
              <w:top w:val="single" w:color="000000" w:sz="4" w:space="0"/>
              <w:bottom w:val="single" w:color="000000" w:sz="4" w:space="0"/>
              <w:right w:val="single" w:color="000000" w:sz="4" w:space="0"/>
            </w:tcBorders>
            <w:vAlign w:val="center"/>
          </w:tcPr>
          <w:p w14:paraId="6B794C2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4</w:t>
            </w:r>
          </w:p>
        </w:tc>
        <w:tc>
          <w:tcPr>
            <w:tcW w:w="974" w:type="pct"/>
            <w:tcBorders>
              <w:top w:val="single" w:color="000000" w:sz="4" w:space="0"/>
              <w:left w:val="single" w:color="000000" w:sz="4" w:space="0"/>
              <w:bottom w:val="single" w:color="000000" w:sz="4" w:space="0"/>
              <w:right w:val="single" w:color="000000" w:sz="4" w:space="0"/>
            </w:tcBorders>
            <w:vAlign w:val="center"/>
          </w:tcPr>
          <w:p w14:paraId="74325CCF">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现代食品加工与贮藏保鲜技术</w:t>
            </w:r>
          </w:p>
        </w:tc>
        <w:tc>
          <w:tcPr>
            <w:tcW w:w="637" w:type="pct"/>
            <w:tcBorders>
              <w:top w:val="single" w:color="000000" w:sz="4" w:space="0"/>
              <w:left w:val="single" w:color="000000" w:sz="4" w:space="0"/>
              <w:bottom w:val="single" w:color="000000" w:sz="4" w:space="0"/>
              <w:right w:val="single" w:color="000000" w:sz="4" w:space="0"/>
            </w:tcBorders>
            <w:vAlign w:val="center"/>
          </w:tcPr>
          <w:p w14:paraId="5A0313A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专业必修课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54C9751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沈勇根</w:t>
            </w:r>
          </w:p>
        </w:tc>
        <w:tc>
          <w:tcPr>
            <w:tcW w:w="672" w:type="pct"/>
            <w:tcBorders>
              <w:top w:val="single" w:color="000000" w:sz="4" w:space="0"/>
              <w:left w:val="single" w:color="000000" w:sz="4" w:space="0"/>
              <w:bottom w:val="single" w:color="000000" w:sz="4" w:space="0"/>
              <w:right w:val="single" w:color="000000" w:sz="4" w:space="0"/>
            </w:tcBorders>
            <w:vAlign w:val="center"/>
          </w:tcPr>
          <w:p w14:paraId="3D59D38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22EE8A8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183D0B0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5F256B5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5629DA3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5</w:t>
            </w:r>
          </w:p>
        </w:tc>
        <w:tc>
          <w:tcPr>
            <w:tcW w:w="974" w:type="pct"/>
            <w:tcBorders>
              <w:top w:val="single" w:color="000000" w:sz="4" w:space="0"/>
              <w:left w:val="single" w:color="000000" w:sz="4" w:space="0"/>
              <w:bottom w:val="single" w:color="000000" w:sz="4" w:space="0"/>
              <w:right w:val="single" w:color="000000" w:sz="4" w:space="0"/>
            </w:tcBorders>
            <w:vAlign w:val="center"/>
          </w:tcPr>
          <w:p w14:paraId="3F7EC74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现代食品微生物学</w:t>
            </w:r>
          </w:p>
        </w:tc>
        <w:tc>
          <w:tcPr>
            <w:tcW w:w="637" w:type="pct"/>
            <w:tcBorders>
              <w:top w:val="single" w:color="000000" w:sz="4" w:space="0"/>
              <w:left w:val="single" w:color="000000" w:sz="4" w:space="0"/>
              <w:bottom w:val="single" w:color="000000" w:sz="4" w:space="0"/>
              <w:right w:val="single" w:color="000000" w:sz="4" w:space="0"/>
            </w:tcBorders>
            <w:vAlign w:val="center"/>
          </w:tcPr>
          <w:p w14:paraId="3E8F7BD3">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专业必修课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64812859">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黄占旺</w:t>
            </w:r>
          </w:p>
        </w:tc>
        <w:tc>
          <w:tcPr>
            <w:tcW w:w="672" w:type="pct"/>
            <w:tcBorders>
              <w:top w:val="single" w:color="000000" w:sz="4" w:space="0"/>
              <w:left w:val="single" w:color="000000" w:sz="4" w:space="0"/>
              <w:bottom w:val="single" w:color="000000" w:sz="4" w:space="0"/>
              <w:right w:val="single" w:color="000000" w:sz="4" w:space="0"/>
            </w:tcBorders>
            <w:vAlign w:val="center"/>
          </w:tcPr>
          <w:p w14:paraId="07414A1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231375A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2817024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62DCE7E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07" w:type="pct"/>
            <w:tcBorders>
              <w:top w:val="single" w:color="000000" w:sz="4" w:space="0"/>
              <w:bottom w:val="single" w:color="000000" w:sz="4" w:space="0"/>
              <w:right w:val="single" w:color="000000" w:sz="4" w:space="0"/>
            </w:tcBorders>
            <w:vAlign w:val="center"/>
          </w:tcPr>
          <w:p w14:paraId="5EE570F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6</w:t>
            </w:r>
          </w:p>
        </w:tc>
        <w:tc>
          <w:tcPr>
            <w:tcW w:w="974" w:type="pct"/>
            <w:tcBorders>
              <w:top w:val="single" w:color="000000" w:sz="4" w:space="0"/>
              <w:left w:val="single" w:color="000000" w:sz="4" w:space="0"/>
              <w:bottom w:val="single" w:color="000000" w:sz="4" w:space="0"/>
              <w:right w:val="single" w:color="000000" w:sz="4" w:space="0"/>
            </w:tcBorders>
            <w:vAlign w:val="center"/>
          </w:tcPr>
          <w:p w14:paraId="3F97B2D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传热与传质</w:t>
            </w:r>
          </w:p>
        </w:tc>
        <w:tc>
          <w:tcPr>
            <w:tcW w:w="637" w:type="pct"/>
            <w:tcBorders>
              <w:top w:val="single" w:color="000000" w:sz="4" w:space="0"/>
              <w:left w:val="single" w:color="000000" w:sz="4" w:space="0"/>
              <w:bottom w:val="single" w:color="000000" w:sz="4" w:space="0"/>
              <w:right w:val="single" w:color="000000" w:sz="4" w:space="0"/>
            </w:tcBorders>
            <w:vAlign w:val="center"/>
          </w:tcPr>
          <w:p w14:paraId="63AF684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专业必修课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62B4A36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颜贤仔</w:t>
            </w:r>
          </w:p>
        </w:tc>
        <w:tc>
          <w:tcPr>
            <w:tcW w:w="672" w:type="pct"/>
            <w:tcBorders>
              <w:top w:val="single" w:color="000000" w:sz="4" w:space="0"/>
              <w:left w:val="single" w:color="000000" w:sz="4" w:space="0"/>
              <w:bottom w:val="single" w:color="000000" w:sz="4" w:space="0"/>
              <w:right w:val="single" w:color="000000" w:sz="4" w:space="0"/>
            </w:tcBorders>
            <w:vAlign w:val="center"/>
          </w:tcPr>
          <w:p w14:paraId="6D58109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副教授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43A2E8AD">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42E80A40">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0F14FB1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07" w:type="pct"/>
            <w:tcBorders>
              <w:top w:val="single" w:color="000000" w:sz="4" w:space="0"/>
              <w:bottom w:val="single" w:color="000000" w:sz="4" w:space="0"/>
              <w:right w:val="single" w:color="000000" w:sz="4" w:space="0"/>
            </w:tcBorders>
            <w:vAlign w:val="center"/>
          </w:tcPr>
          <w:p w14:paraId="35D2AD8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7</w:t>
            </w:r>
          </w:p>
        </w:tc>
        <w:tc>
          <w:tcPr>
            <w:tcW w:w="974" w:type="pct"/>
            <w:tcBorders>
              <w:top w:val="single" w:color="000000" w:sz="4" w:space="0"/>
              <w:left w:val="single" w:color="000000" w:sz="4" w:space="0"/>
              <w:bottom w:val="single" w:color="000000" w:sz="4" w:space="0"/>
              <w:right w:val="single" w:color="000000" w:sz="4" w:space="0"/>
            </w:tcBorders>
            <w:vAlign w:val="center"/>
          </w:tcPr>
          <w:p w14:paraId="1DB021F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现代生化实验技术</w:t>
            </w:r>
          </w:p>
        </w:tc>
        <w:tc>
          <w:tcPr>
            <w:tcW w:w="637" w:type="pct"/>
            <w:tcBorders>
              <w:top w:val="single" w:color="000000" w:sz="4" w:space="0"/>
              <w:left w:val="single" w:color="000000" w:sz="4" w:space="0"/>
              <w:bottom w:val="single" w:color="000000" w:sz="4" w:space="0"/>
              <w:right w:val="single" w:color="000000" w:sz="4" w:space="0"/>
            </w:tcBorders>
            <w:vAlign w:val="center"/>
          </w:tcPr>
          <w:p w14:paraId="4279592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专业必修课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6BD81C5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郑国栋</w:t>
            </w:r>
          </w:p>
        </w:tc>
        <w:tc>
          <w:tcPr>
            <w:tcW w:w="672" w:type="pct"/>
            <w:tcBorders>
              <w:top w:val="single" w:color="000000" w:sz="4" w:space="0"/>
              <w:left w:val="single" w:color="000000" w:sz="4" w:space="0"/>
              <w:bottom w:val="single" w:color="000000" w:sz="4" w:space="0"/>
              <w:right w:val="single" w:color="000000" w:sz="4" w:space="0"/>
            </w:tcBorders>
            <w:vAlign w:val="center"/>
          </w:tcPr>
          <w:p w14:paraId="08FCEEC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2920556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003099B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3D11489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6F721BAF">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8</w:t>
            </w:r>
          </w:p>
        </w:tc>
        <w:tc>
          <w:tcPr>
            <w:tcW w:w="974" w:type="pct"/>
            <w:tcBorders>
              <w:top w:val="single" w:color="000000" w:sz="4" w:space="0"/>
              <w:left w:val="single" w:color="000000" w:sz="4" w:space="0"/>
              <w:bottom w:val="single" w:color="000000" w:sz="4" w:space="0"/>
              <w:right w:val="single" w:color="000000" w:sz="4" w:space="0"/>
            </w:tcBorders>
            <w:vAlign w:val="center"/>
          </w:tcPr>
          <w:p w14:paraId="03BDFA2D">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食品贮藏加工专题</w:t>
            </w:r>
          </w:p>
        </w:tc>
        <w:tc>
          <w:tcPr>
            <w:tcW w:w="637" w:type="pct"/>
            <w:tcBorders>
              <w:top w:val="single" w:color="000000" w:sz="4" w:space="0"/>
              <w:left w:val="single" w:color="000000" w:sz="4" w:space="0"/>
              <w:bottom w:val="single" w:color="000000" w:sz="4" w:space="0"/>
              <w:right w:val="single" w:color="000000" w:sz="4" w:space="0"/>
            </w:tcBorders>
            <w:vAlign w:val="center"/>
          </w:tcPr>
          <w:p w14:paraId="510575B6">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7160771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沈勇根</w:t>
            </w:r>
          </w:p>
        </w:tc>
        <w:tc>
          <w:tcPr>
            <w:tcW w:w="672" w:type="pct"/>
            <w:tcBorders>
              <w:top w:val="single" w:color="000000" w:sz="4" w:space="0"/>
              <w:left w:val="single" w:color="000000" w:sz="4" w:space="0"/>
              <w:bottom w:val="single" w:color="000000" w:sz="4" w:space="0"/>
              <w:right w:val="single" w:color="000000" w:sz="4" w:space="0"/>
            </w:tcBorders>
            <w:vAlign w:val="center"/>
          </w:tcPr>
          <w:p w14:paraId="56D69C5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23BB7CC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29A2936D">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4E83636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07" w:type="pct"/>
            <w:tcBorders>
              <w:top w:val="single" w:color="000000" w:sz="4" w:space="0"/>
              <w:bottom w:val="single" w:color="000000" w:sz="4" w:space="0"/>
              <w:right w:val="single" w:color="000000" w:sz="4" w:space="0"/>
            </w:tcBorders>
            <w:vAlign w:val="center"/>
          </w:tcPr>
          <w:p w14:paraId="289309B6">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9</w:t>
            </w:r>
          </w:p>
        </w:tc>
        <w:tc>
          <w:tcPr>
            <w:tcW w:w="974" w:type="pct"/>
            <w:tcBorders>
              <w:top w:val="single" w:color="000000" w:sz="4" w:space="0"/>
              <w:left w:val="single" w:color="000000" w:sz="4" w:space="0"/>
              <w:bottom w:val="single" w:color="000000" w:sz="4" w:space="0"/>
              <w:right w:val="single" w:color="000000" w:sz="4" w:space="0"/>
            </w:tcBorders>
            <w:vAlign w:val="center"/>
          </w:tcPr>
          <w:p w14:paraId="74B5211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天然产物分离与结构鉴定</w:t>
            </w:r>
          </w:p>
        </w:tc>
        <w:tc>
          <w:tcPr>
            <w:tcW w:w="637" w:type="pct"/>
            <w:tcBorders>
              <w:top w:val="single" w:color="000000" w:sz="4" w:space="0"/>
              <w:left w:val="single" w:color="000000" w:sz="4" w:space="0"/>
              <w:bottom w:val="single" w:color="000000" w:sz="4" w:space="0"/>
              <w:right w:val="single" w:color="000000" w:sz="4" w:space="0"/>
            </w:tcBorders>
            <w:vAlign w:val="center"/>
          </w:tcPr>
          <w:p w14:paraId="22F314A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04DB52E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洪艳平</w:t>
            </w:r>
          </w:p>
        </w:tc>
        <w:tc>
          <w:tcPr>
            <w:tcW w:w="672" w:type="pct"/>
            <w:tcBorders>
              <w:top w:val="single" w:color="000000" w:sz="4" w:space="0"/>
              <w:left w:val="single" w:color="000000" w:sz="4" w:space="0"/>
              <w:bottom w:val="single" w:color="000000" w:sz="4" w:space="0"/>
              <w:right w:val="single" w:color="000000" w:sz="4" w:space="0"/>
            </w:tcBorders>
            <w:vAlign w:val="center"/>
          </w:tcPr>
          <w:p w14:paraId="20E208D8">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21B6DE30">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06EFFF6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4FCA8D5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3C63A1AA">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10</w:t>
            </w:r>
          </w:p>
        </w:tc>
        <w:tc>
          <w:tcPr>
            <w:tcW w:w="974" w:type="pct"/>
            <w:tcBorders>
              <w:top w:val="single" w:color="000000" w:sz="4" w:space="0"/>
              <w:left w:val="single" w:color="000000" w:sz="4" w:space="0"/>
              <w:bottom w:val="single" w:color="000000" w:sz="4" w:space="0"/>
              <w:right w:val="single" w:color="000000" w:sz="4" w:space="0"/>
            </w:tcBorders>
            <w:vAlign w:val="center"/>
          </w:tcPr>
          <w:p w14:paraId="4D7900E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现代仪器分析</w:t>
            </w:r>
          </w:p>
        </w:tc>
        <w:tc>
          <w:tcPr>
            <w:tcW w:w="637" w:type="pct"/>
            <w:tcBorders>
              <w:top w:val="single" w:color="000000" w:sz="4" w:space="0"/>
              <w:left w:val="single" w:color="000000" w:sz="4" w:space="0"/>
              <w:bottom w:val="single" w:color="000000" w:sz="4" w:space="0"/>
              <w:right w:val="single" w:color="000000" w:sz="4" w:space="0"/>
            </w:tcBorders>
            <w:vAlign w:val="center"/>
          </w:tcPr>
          <w:p w14:paraId="67DAF2B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06303B10">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霍光华</w:t>
            </w:r>
          </w:p>
        </w:tc>
        <w:tc>
          <w:tcPr>
            <w:tcW w:w="672" w:type="pct"/>
            <w:tcBorders>
              <w:top w:val="single" w:color="000000" w:sz="4" w:space="0"/>
              <w:left w:val="single" w:color="000000" w:sz="4" w:space="0"/>
              <w:bottom w:val="single" w:color="000000" w:sz="4" w:space="0"/>
              <w:right w:val="single" w:color="000000" w:sz="4" w:space="0"/>
            </w:tcBorders>
            <w:vAlign w:val="center"/>
          </w:tcPr>
          <w:p w14:paraId="57BBA65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3D4CDFE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62B7531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5F5D17C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280E9BD3">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11</w:t>
            </w:r>
          </w:p>
        </w:tc>
        <w:tc>
          <w:tcPr>
            <w:tcW w:w="974" w:type="pct"/>
            <w:tcBorders>
              <w:top w:val="single" w:color="000000" w:sz="4" w:space="0"/>
              <w:left w:val="single" w:color="000000" w:sz="4" w:space="0"/>
              <w:bottom w:val="single" w:color="000000" w:sz="4" w:space="0"/>
              <w:right w:val="single" w:color="000000" w:sz="4" w:space="0"/>
            </w:tcBorders>
            <w:vAlign w:val="center"/>
          </w:tcPr>
          <w:p w14:paraId="4497929D">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食品质量与安全检测技术</w:t>
            </w:r>
          </w:p>
        </w:tc>
        <w:tc>
          <w:tcPr>
            <w:tcW w:w="637" w:type="pct"/>
            <w:tcBorders>
              <w:top w:val="single" w:color="000000" w:sz="4" w:space="0"/>
              <w:left w:val="single" w:color="000000" w:sz="4" w:space="0"/>
              <w:bottom w:val="single" w:color="000000" w:sz="4" w:space="0"/>
              <w:right w:val="single" w:color="000000" w:sz="4" w:space="0"/>
            </w:tcBorders>
            <w:vAlign w:val="center"/>
          </w:tcPr>
          <w:p w14:paraId="7063A5D3">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518460F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熊建华</w:t>
            </w:r>
          </w:p>
        </w:tc>
        <w:tc>
          <w:tcPr>
            <w:tcW w:w="672" w:type="pct"/>
            <w:tcBorders>
              <w:top w:val="single" w:color="000000" w:sz="4" w:space="0"/>
              <w:left w:val="single" w:color="000000" w:sz="4" w:space="0"/>
              <w:bottom w:val="single" w:color="000000" w:sz="4" w:space="0"/>
              <w:right w:val="single" w:color="000000" w:sz="4" w:space="0"/>
            </w:tcBorders>
            <w:vAlign w:val="center"/>
          </w:tcPr>
          <w:p w14:paraId="4FA11EFD">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3BB5992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654FD31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6E8B4C4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07" w:type="pct"/>
            <w:tcBorders>
              <w:top w:val="single" w:color="000000" w:sz="4" w:space="0"/>
              <w:bottom w:val="single" w:color="000000" w:sz="4" w:space="0"/>
              <w:right w:val="single" w:color="000000" w:sz="4" w:space="0"/>
            </w:tcBorders>
            <w:vAlign w:val="center"/>
          </w:tcPr>
          <w:p w14:paraId="65A7CF0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12</w:t>
            </w:r>
          </w:p>
        </w:tc>
        <w:tc>
          <w:tcPr>
            <w:tcW w:w="974" w:type="pct"/>
            <w:tcBorders>
              <w:top w:val="single" w:color="000000" w:sz="4" w:space="0"/>
              <w:left w:val="single" w:color="000000" w:sz="4" w:space="0"/>
              <w:bottom w:val="single" w:color="000000" w:sz="4" w:space="0"/>
              <w:right w:val="single" w:color="000000" w:sz="4" w:space="0"/>
            </w:tcBorders>
            <w:vAlign w:val="center"/>
          </w:tcPr>
          <w:p w14:paraId="619570F6">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食品生物技术</w:t>
            </w:r>
          </w:p>
        </w:tc>
        <w:tc>
          <w:tcPr>
            <w:tcW w:w="637" w:type="pct"/>
            <w:tcBorders>
              <w:top w:val="single" w:color="000000" w:sz="4" w:space="0"/>
              <w:left w:val="single" w:color="000000" w:sz="4" w:space="0"/>
              <w:bottom w:val="single" w:color="000000" w:sz="4" w:space="0"/>
              <w:right w:val="single" w:color="000000" w:sz="4" w:space="0"/>
            </w:tcBorders>
            <w:vAlign w:val="center"/>
          </w:tcPr>
          <w:p w14:paraId="418C4D63">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0BFDC60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吴国平</w:t>
            </w:r>
          </w:p>
        </w:tc>
        <w:tc>
          <w:tcPr>
            <w:tcW w:w="672" w:type="pct"/>
            <w:tcBorders>
              <w:top w:val="single" w:color="000000" w:sz="4" w:space="0"/>
              <w:left w:val="single" w:color="000000" w:sz="4" w:space="0"/>
              <w:bottom w:val="single" w:color="000000" w:sz="4" w:space="0"/>
              <w:right w:val="single" w:color="000000" w:sz="4" w:space="0"/>
            </w:tcBorders>
            <w:vAlign w:val="center"/>
          </w:tcPr>
          <w:p w14:paraId="5A1A78F3">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0ECC9A3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0366413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英文</w:t>
            </w:r>
          </w:p>
        </w:tc>
      </w:tr>
      <w:tr w14:paraId="3C3F957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5936064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13</w:t>
            </w:r>
          </w:p>
        </w:tc>
        <w:tc>
          <w:tcPr>
            <w:tcW w:w="974" w:type="pct"/>
            <w:tcBorders>
              <w:top w:val="single" w:color="000000" w:sz="4" w:space="0"/>
              <w:left w:val="single" w:color="000000" w:sz="4" w:space="0"/>
              <w:bottom w:val="single" w:color="000000" w:sz="4" w:space="0"/>
              <w:right w:val="single" w:color="000000" w:sz="4" w:space="0"/>
            </w:tcBorders>
            <w:vAlign w:val="center"/>
          </w:tcPr>
          <w:p w14:paraId="0008DF3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食品加工成果控制</w:t>
            </w:r>
          </w:p>
        </w:tc>
        <w:tc>
          <w:tcPr>
            <w:tcW w:w="637" w:type="pct"/>
            <w:tcBorders>
              <w:top w:val="single" w:color="000000" w:sz="4" w:space="0"/>
              <w:left w:val="single" w:color="000000" w:sz="4" w:space="0"/>
              <w:bottom w:val="single" w:color="000000" w:sz="4" w:space="0"/>
              <w:right w:val="single" w:color="000000" w:sz="4" w:space="0"/>
            </w:tcBorders>
            <w:vAlign w:val="center"/>
          </w:tcPr>
          <w:p w14:paraId="2E86F91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53F231B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肖建辉</w:t>
            </w:r>
          </w:p>
        </w:tc>
        <w:tc>
          <w:tcPr>
            <w:tcW w:w="672" w:type="pct"/>
            <w:tcBorders>
              <w:top w:val="single" w:color="000000" w:sz="4" w:space="0"/>
              <w:left w:val="single" w:color="000000" w:sz="4" w:space="0"/>
              <w:bottom w:val="single" w:color="000000" w:sz="4" w:space="0"/>
              <w:right w:val="single" w:color="000000" w:sz="4" w:space="0"/>
            </w:tcBorders>
            <w:vAlign w:val="center"/>
          </w:tcPr>
          <w:p w14:paraId="524C75C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1EF3546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79270C4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5E2EFBA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00666C8F">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14</w:t>
            </w:r>
          </w:p>
        </w:tc>
        <w:tc>
          <w:tcPr>
            <w:tcW w:w="974" w:type="pct"/>
            <w:tcBorders>
              <w:top w:val="single" w:color="000000" w:sz="4" w:space="0"/>
              <w:left w:val="single" w:color="000000" w:sz="4" w:space="0"/>
              <w:bottom w:val="single" w:color="000000" w:sz="4" w:space="0"/>
              <w:right w:val="single" w:color="000000" w:sz="4" w:space="0"/>
            </w:tcBorders>
            <w:vAlign w:val="center"/>
          </w:tcPr>
          <w:p w14:paraId="49E8CDC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科技论文写作专题</w:t>
            </w:r>
          </w:p>
        </w:tc>
        <w:tc>
          <w:tcPr>
            <w:tcW w:w="637" w:type="pct"/>
            <w:tcBorders>
              <w:top w:val="single" w:color="000000" w:sz="4" w:space="0"/>
              <w:left w:val="single" w:color="000000" w:sz="4" w:space="0"/>
              <w:bottom w:val="single" w:color="000000" w:sz="4" w:space="0"/>
              <w:right w:val="single" w:color="000000" w:sz="4" w:space="0"/>
            </w:tcBorders>
            <w:vAlign w:val="center"/>
          </w:tcPr>
          <w:p w14:paraId="2DB92E2F">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439058A9">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张清峰</w:t>
            </w:r>
          </w:p>
        </w:tc>
        <w:tc>
          <w:tcPr>
            <w:tcW w:w="672" w:type="pct"/>
            <w:tcBorders>
              <w:top w:val="single" w:color="000000" w:sz="4" w:space="0"/>
              <w:left w:val="single" w:color="000000" w:sz="4" w:space="0"/>
              <w:bottom w:val="single" w:color="000000" w:sz="4" w:space="0"/>
              <w:right w:val="single" w:color="000000" w:sz="4" w:space="0"/>
            </w:tcBorders>
            <w:vAlign w:val="center"/>
          </w:tcPr>
          <w:p w14:paraId="66D7D709">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47C26A2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16/1</w:t>
            </w:r>
          </w:p>
        </w:tc>
        <w:tc>
          <w:tcPr>
            <w:tcW w:w="750" w:type="pct"/>
            <w:tcBorders>
              <w:top w:val="single" w:color="000000" w:sz="4" w:space="0"/>
              <w:left w:val="single" w:color="000000" w:sz="4" w:space="0"/>
              <w:bottom w:val="single" w:color="000000" w:sz="4" w:space="0"/>
            </w:tcBorders>
            <w:vAlign w:val="center"/>
          </w:tcPr>
          <w:p w14:paraId="5D04BC56">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384E889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011A06F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15</w:t>
            </w:r>
          </w:p>
        </w:tc>
        <w:tc>
          <w:tcPr>
            <w:tcW w:w="974" w:type="pct"/>
            <w:tcBorders>
              <w:top w:val="single" w:color="000000" w:sz="4" w:space="0"/>
              <w:left w:val="single" w:color="000000" w:sz="4" w:space="0"/>
              <w:bottom w:val="single" w:color="000000" w:sz="4" w:space="0"/>
              <w:right w:val="single" w:color="000000" w:sz="4" w:space="0"/>
            </w:tcBorders>
            <w:vAlign w:val="center"/>
          </w:tcPr>
          <w:p w14:paraId="4CA55759">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农产品贮藏与物流</w:t>
            </w:r>
          </w:p>
        </w:tc>
        <w:tc>
          <w:tcPr>
            <w:tcW w:w="637" w:type="pct"/>
            <w:tcBorders>
              <w:top w:val="single" w:color="000000" w:sz="4" w:space="0"/>
              <w:left w:val="single" w:color="000000" w:sz="4" w:space="0"/>
              <w:bottom w:val="single" w:color="000000" w:sz="4" w:space="0"/>
              <w:right w:val="single" w:color="000000" w:sz="4" w:space="0"/>
            </w:tcBorders>
            <w:vAlign w:val="center"/>
          </w:tcPr>
          <w:p w14:paraId="49304B1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1810B8C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沈勇根</w:t>
            </w:r>
          </w:p>
        </w:tc>
        <w:tc>
          <w:tcPr>
            <w:tcW w:w="672" w:type="pct"/>
            <w:tcBorders>
              <w:top w:val="single" w:color="000000" w:sz="4" w:space="0"/>
              <w:left w:val="single" w:color="000000" w:sz="4" w:space="0"/>
              <w:bottom w:val="single" w:color="000000" w:sz="4" w:space="0"/>
              <w:right w:val="single" w:color="000000" w:sz="4" w:space="0"/>
            </w:tcBorders>
            <w:vAlign w:val="center"/>
          </w:tcPr>
          <w:p w14:paraId="2762A27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7C82B00B">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0EFBAF0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13DA188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07" w:type="pct"/>
            <w:tcBorders>
              <w:top w:val="single" w:color="000000" w:sz="4" w:space="0"/>
              <w:bottom w:val="single" w:color="000000" w:sz="4" w:space="0"/>
              <w:right w:val="single" w:color="000000" w:sz="4" w:space="0"/>
            </w:tcBorders>
            <w:vAlign w:val="center"/>
          </w:tcPr>
          <w:p w14:paraId="12235BE5">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16</w:t>
            </w:r>
          </w:p>
        </w:tc>
        <w:tc>
          <w:tcPr>
            <w:tcW w:w="974" w:type="pct"/>
            <w:tcBorders>
              <w:top w:val="single" w:color="000000" w:sz="4" w:space="0"/>
              <w:left w:val="single" w:color="000000" w:sz="4" w:space="0"/>
              <w:bottom w:val="single" w:color="000000" w:sz="4" w:space="0"/>
              <w:right w:val="single" w:color="000000" w:sz="4" w:space="0"/>
            </w:tcBorders>
            <w:vAlign w:val="center"/>
          </w:tcPr>
          <w:p w14:paraId="1223660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食品工程设计</w:t>
            </w:r>
          </w:p>
        </w:tc>
        <w:tc>
          <w:tcPr>
            <w:tcW w:w="637" w:type="pct"/>
            <w:tcBorders>
              <w:top w:val="single" w:color="000000" w:sz="4" w:space="0"/>
              <w:left w:val="single" w:color="000000" w:sz="4" w:space="0"/>
              <w:bottom w:val="single" w:color="000000" w:sz="4" w:space="0"/>
              <w:right w:val="single" w:color="000000" w:sz="4" w:space="0"/>
            </w:tcBorders>
            <w:vAlign w:val="center"/>
          </w:tcPr>
          <w:p w14:paraId="783EBB2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2887A05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吴磊燕</w:t>
            </w:r>
          </w:p>
        </w:tc>
        <w:tc>
          <w:tcPr>
            <w:tcW w:w="672" w:type="pct"/>
            <w:tcBorders>
              <w:top w:val="single" w:color="000000" w:sz="4" w:space="0"/>
              <w:left w:val="single" w:color="000000" w:sz="4" w:space="0"/>
              <w:bottom w:val="single" w:color="000000" w:sz="4" w:space="0"/>
              <w:right w:val="single" w:color="000000" w:sz="4" w:space="0"/>
            </w:tcBorders>
            <w:vAlign w:val="center"/>
          </w:tcPr>
          <w:p w14:paraId="3D80E458">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副教授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1C90740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18E6B61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52A8ACD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3C5DBB18">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17</w:t>
            </w:r>
          </w:p>
        </w:tc>
        <w:tc>
          <w:tcPr>
            <w:tcW w:w="974" w:type="pct"/>
            <w:tcBorders>
              <w:top w:val="single" w:color="000000" w:sz="4" w:space="0"/>
              <w:left w:val="single" w:color="000000" w:sz="4" w:space="0"/>
              <w:bottom w:val="single" w:color="000000" w:sz="4" w:space="0"/>
              <w:right w:val="single" w:color="000000" w:sz="4" w:space="0"/>
            </w:tcBorders>
            <w:vAlign w:val="center"/>
          </w:tcPr>
          <w:p w14:paraId="2CB33481">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功能食品研究进展</w:t>
            </w:r>
          </w:p>
        </w:tc>
        <w:tc>
          <w:tcPr>
            <w:tcW w:w="637" w:type="pct"/>
            <w:tcBorders>
              <w:top w:val="single" w:color="000000" w:sz="4" w:space="0"/>
              <w:left w:val="single" w:color="000000" w:sz="4" w:space="0"/>
              <w:bottom w:val="single" w:color="000000" w:sz="4" w:space="0"/>
              <w:right w:val="single" w:color="000000" w:sz="4" w:space="0"/>
            </w:tcBorders>
            <w:vAlign w:val="center"/>
          </w:tcPr>
          <w:p w14:paraId="3CC1AEB4">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5A5B355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尹忠平</w:t>
            </w:r>
          </w:p>
        </w:tc>
        <w:tc>
          <w:tcPr>
            <w:tcW w:w="672" w:type="pct"/>
            <w:tcBorders>
              <w:top w:val="single" w:color="000000" w:sz="4" w:space="0"/>
              <w:left w:val="single" w:color="000000" w:sz="4" w:space="0"/>
              <w:bottom w:val="single" w:color="000000" w:sz="4" w:space="0"/>
              <w:right w:val="single" w:color="000000" w:sz="4" w:space="0"/>
            </w:tcBorders>
            <w:vAlign w:val="center"/>
          </w:tcPr>
          <w:p w14:paraId="3D88011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4BF40D43">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0E278243">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r w14:paraId="7590E47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607" w:type="pct"/>
            <w:tcBorders>
              <w:top w:val="single" w:color="000000" w:sz="4" w:space="0"/>
              <w:bottom w:val="single" w:color="000000" w:sz="4" w:space="0"/>
              <w:right w:val="single" w:color="000000" w:sz="4" w:space="0"/>
            </w:tcBorders>
            <w:vAlign w:val="center"/>
          </w:tcPr>
          <w:p w14:paraId="4E3F50A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18</w:t>
            </w:r>
          </w:p>
        </w:tc>
        <w:tc>
          <w:tcPr>
            <w:tcW w:w="974" w:type="pct"/>
            <w:tcBorders>
              <w:top w:val="single" w:color="000000" w:sz="4" w:space="0"/>
              <w:left w:val="single" w:color="000000" w:sz="4" w:space="0"/>
              <w:bottom w:val="single" w:color="000000" w:sz="4" w:space="0"/>
              <w:right w:val="single" w:color="000000" w:sz="4" w:space="0"/>
            </w:tcBorders>
            <w:vAlign w:val="center"/>
          </w:tcPr>
          <w:p w14:paraId="1333F452">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食品标准与法规</w:t>
            </w:r>
          </w:p>
        </w:tc>
        <w:tc>
          <w:tcPr>
            <w:tcW w:w="637" w:type="pct"/>
            <w:tcBorders>
              <w:top w:val="single" w:color="000000" w:sz="4" w:space="0"/>
              <w:left w:val="single" w:color="000000" w:sz="4" w:space="0"/>
              <w:bottom w:val="single" w:color="000000" w:sz="4" w:space="0"/>
              <w:right w:val="single" w:color="000000" w:sz="4" w:space="0"/>
            </w:tcBorders>
            <w:vAlign w:val="center"/>
          </w:tcPr>
          <w:p w14:paraId="188EF0FC">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专业选修课</w:t>
            </w:r>
          </w:p>
        </w:tc>
        <w:tc>
          <w:tcPr>
            <w:tcW w:w="564" w:type="pct"/>
            <w:tcBorders>
              <w:top w:val="single" w:color="000000" w:sz="4" w:space="0"/>
              <w:left w:val="single" w:color="000000" w:sz="4" w:space="0"/>
              <w:bottom w:val="single" w:color="000000" w:sz="4" w:space="0"/>
              <w:right w:val="single" w:color="000000" w:sz="4" w:space="0"/>
            </w:tcBorders>
            <w:vAlign w:val="center"/>
          </w:tcPr>
          <w:p w14:paraId="2AA048FE">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汤凯洁</w:t>
            </w:r>
          </w:p>
        </w:tc>
        <w:tc>
          <w:tcPr>
            <w:tcW w:w="672" w:type="pct"/>
            <w:tcBorders>
              <w:top w:val="single" w:color="000000" w:sz="4" w:space="0"/>
              <w:left w:val="single" w:color="000000" w:sz="4" w:space="0"/>
              <w:bottom w:val="single" w:color="000000" w:sz="4" w:space="0"/>
              <w:right w:val="single" w:color="000000" w:sz="4" w:space="0"/>
            </w:tcBorders>
            <w:vAlign w:val="center"/>
          </w:tcPr>
          <w:p w14:paraId="514D3F50">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教授</w:t>
            </w:r>
          </w:p>
        </w:tc>
        <w:tc>
          <w:tcPr>
            <w:tcW w:w="792" w:type="pct"/>
            <w:tcBorders>
              <w:top w:val="single" w:color="000000" w:sz="4" w:space="0"/>
              <w:left w:val="single" w:color="000000" w:sz="4" w:space="0"/>
              <w:bottom w:val="single" w:color="000000" w:sz="4" w:space="0"/>
              <w:right w:val="single" w:color="000000" w:sz="4" w:space="0"/>
            </w:tcBorders>
            <w:vAlign w:val="center"/>
          </w:tcPr>
          <w:p w14:paraId="11A433E7">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32/2</w:t>
            </w:r>
          </w:p>
        </w:tc>
        <w:tc>
          <w:tcPr>
            <w:tcW w:w="750" w:type="pct"/>
            <w:tcBorders>
              <w:top w:val="single" w:color="000000" w:sz="4" w:space="0"/>
              <w:left w:val="single" w:color="000000" w:sz="4" w:space="0"/>
              <w:bottom w:val="single" w:color="000000" w:sz="4" w:space="0"/>
            </w:tcBorders>
            <w:vAlign w:val="center"/>
          </w:tcPr>
          <w:p w14:paraId="143B17E0">
            <w:pPr>
              <w:widowControl w:val="0"/>
              <w:autoSpaceDE w:val="0"/>
              <w:autoSpaceDN w:val="0"/>
              <w:spacing w:before="148" w:line="240" w:lineRule="auto"/>
              <w:ind w:firstLine="0" w:firstLineChars="0"/>
              <w:jc w:val="center"/>
              <w:rPr>
                <w:rFonts w:ascii="仿宋" w:hAnsi="仿宋" w:eastAsia="仿宋" w:cs="仿宋"/>
                <w:sz w:val="21"/>
                <w:lang w:val="zh-CN" w:bidi="zh-CN"/>
              </w:rPr>
            </w:pPr>
            <w:r>
              <w:rPr>
                <w:rFonts w:ascii="仿宋" w:hAnsi="仿宋" w:eastAsia="仿宋" w:cs="仿宋"/>
                <w:sz w:val="21"/>
                <w:lang w:val="zh-CN" w:bidi="zh-CN"/>
              </w:rPr>
              <w:t>中文</w:t>
            </w:r>
          </w:p>
        </w:tc>
      </w:tr>
    </w:tbl>
    <w:p w14:paraId="22A2FF4C">
      <w:pPr>
        <w:pStyle w:val="2"/>
        <w:spacing w:line="560" w:lineRule="exact"/>
        <w:ind w:firstLine="562"/>
        <w:rPr>
          <w:rFonts w:ascii="Times New Roman" w:hAnsi="Times New Roman" w:eastAsia="宋体" w:cs="Times New Roman"/>
        </w:rPr>
      </w:pPr>
      <w:r>
        <w:rPr>
          <w:rFonts w:ascii="Times New Roman" w:hAnsi="Times New Roman" w:eastAsia="宋体" w:cs="Times New Roman"/>
          <w:b/>
          <w:bCs/>
        </w:rPr>
        <w:t>课程教学质量和持续改进机制：</w:t>
      </w:r>
      <w:r>
        <w:rPr>
          <w:rFonts w:ascii="Times New Roman" w:hAnsi="Times New Roman" w:eastAsia="宋体" w:cs="Times New Roman"/>
        </w:rPr>
        <w:t>建立了教学过程质量监控机制，各主要教学环节有明确的质量要求，定期开展课程体系设置和课程质量评价；以提高教学质量为目标，不断完善“决策、监控、评价、反馈”四位一体的教学质量监控体系，实行校、院、专业领域、导师“四级”管理体系，尽量做到职责明确、全员参与、全面监控、及时反馈、持续改进，确保教学质量监控系统有效运行；抓好“四学”（即学生、学者、学术、学风）工作，建立良好的“教风”和“学风”。</w:t>
      </w:r>
    </w:p>
    <w:p w14:paraId="13672DEF">
      <w:pPr>
        <w:pStyle w:val="2"/>
        <w:spacing w:line="560" w:lineRule="exact"/>
        <w:ind w:firstLine="562"/>
        <w:rPr>
          <w:rFonts w:ascii="Times New Roman" w:hAnsi="Times New Roman" w:eastAsia="宋体" w:cs="Times New Roman"/>
          <w:color w:val="auto"/>
        </w:rPr>
      </w:pPr>
      <w:r>
        <w:rPr>
          <w:rFonts w:ascii="Times New Roman" w:hAnsi="Times New Roman" w:eastAsia="宋体" w:cs="Times New Roman"/>
          <w:b/>
          <w:bCs/>
        </w:rPr>
        <w:t>教材建设情况</w:t>
      </w:r>
      <w:r>
        <w:rPr>
          <w:rFonts w:ascii="Times New Roman" w:hAnsi="Times New Roman" w:eastAsia="宋体" w:cs="Times New Roman"/>
        </w:rPr>
        <w:t>：</w:t>
      </w:r>
      <w:r>
        <w:rPr>
          <w:rFonts w:ascii="Times New Roman" w:hAnsi="Times New Roman" w:eastAsia="宋体" w:cs="Times New Roman"/>
          <w:color w:val="auto"/>
        </w:rPr>
        <w:t>202</w:t>
      </w:r>
      <w:r>
        <w:rPr>
          <w:rFonts w:hint="eastAsia" w:ascii="Times New Roman" w:hAnsi="Times New Roman" w:eastAsia="宋体" w:cs="Times New Roman"/>
          <w:color w:val="auto"/>
        </w:rPr>
        <w:t>2</w:t>
      </w:r>
      <w:r>
        <w:rPr>
          <w:rFonts w:ascii="Times New Roman" w:hAnsi="Times New Roman" w:eastAsia="宋体" w:cs="Times New Roman"/>
          <w:color w:val="auto"/>
        </w:rPr>
        <w:t>年度没有编写相应的教材。</w:t>
      </w:r>
    </w:p>
    <w:p w14:paraId="19B3AFCD">
      <w:pPr>
        <w:ind w:firstLine="621"/>
        <w:rPr>
          <w:color w:val="FF0000"/>
        </w:rPr>
      </w:pPr>
      <w:r>
        <w:rPr>
          <w:rFonts w:cs="Times New Roman"/>
          <w:b/>
          <w:bCs/>
        </w:rPr>
        <w:t>校外专家为本学位</w:t>
      </w:r>
      <w:r>
        <w:rPr>
          <w:rFonts w:hint="eastAsia" w:cs="Times New Roman"/>
          <w:b/>
          <w:bCs/>
        </w:rPr>
        <w:t>点</w:t>
      </w:r>
      <w:r>
        <w:rPr>
          <w:rFonts w:cs="Times New Roman"/>
          <w:b/>
          <w:bCs/>
        </w:rPr>
        <w:t>研究生开设专题讲座方面：</w:t>
      </w:r>
      <w:r>
        <w:rPr>
          <w:rFonts w:cs="Times New Roman"/>
        </w:rPr>
        <w:t>学</w:t>
      </w:r>
      <w:r>
        <w:rPr>
          <w:rFonts w:hint="eastAsia" w:cs="Times New Roman"/>
        </w:rPr>
        <w:t>科</w:t>
      </w:r>
      <w:r>
        <w:rPr>
          <w:rFonts w:cs="Times New Roman"/>
        </w:rPr>
        <w:t>重视学术交流，</w:t>
      </w:r>
      <w:r>
        <w:rPr>
          <w:rFonts w:hint="eastAsia" w:cs="Times New Roman"/>
        </w:rPr>
        <w:t>2022</w:t>
      </w:r>
      <w:r>
        <w:rPr>
          <w:rFonts w:cs="Times New Roman"/>
        </w:rPr>
        <w:t>年邀请</w:t>
      </w:r>
      <w:r>
        <w:rPr>
          <w:rFonts w:hint="eastAsia" w:cs="Times New Roman"/>
        </w:rPr>
        <w:t>2</w:t>
      </w:r>
      <w:r>
        <w:rPr>
          <w:rFonts w:cs="Times New Roman"/>
        </w:rPr>
        <w:t>位国内外专家为师生做学术报告，讲座具体情况如下：（1）主讲人</w:t>
      </w:r>
      <w:r>
        <w:rPr>
          <w:rFonts w:hint="eastAsia" w:cs="Times New Roman"/>
        </w:rPr>
        <w:t>李斌</w:t>
      </w:r>
      <w:r>
        <w:rPr>
          <w:rFonts w:cs="Times New Roman"/>
        </w:rPr>
        <w:t>，</w:t>
      </w:r>
      <w:r>
        <w:rPr>
          <w:rFonts w:hint="eastAsia" w:cs="Times New Roman"/>
        </w:rPr>
        <w:t>华中农业大学</w:t>
      </w:r>
      <w:r>
        <w:rPr>
          <w:rFonts w:cs="Times New Roman"/>
        </w:rPr>
        <w:t>，</w:t>
      </w:r>
      <w:r>
        <w:rPr>
          <w:rFonts w:hint="eastAsia" w:cs="Times New Roman"/>
        </w:rPr>
        <w:t>教授</w:t>
      </w:r>
      <w:r>
        <w:rPr>
          <w:rFonts w:cs="Times New Roman"/>
        </w:rPr>
        <w:t>，202</w:t>
      </w:r>
      <w:r>
        <w:rPr>
          <w:rFonts w:hint="eastAsia" w:cs="Times New Roman"/>
        </w:rPr>
        <w:t>2</w:t>
      </w:r>
      <w:r>
        <w:rPr>
          <w:rFonts w:cs="Times New Roman"/>
        </w:rPr>
        <w:t>年</w:t>
      </w:r>
      <w:r>
        <w:rPr>
          <w:rFonts w:hint="eastAsia" w:cs="Times New Roman"/>
        </w:rPr>
        <w:t>12</w:t>
      </w:r>
      <w:r>
        <w:rPr>
          <w:rFonts w:cs="Times New Roman"/>
        </w:rPr>
        <w:t>月1</w:t>
      </w:r>
      <w:r>
        <w:rPr>
          <w:rFonts w:hint="eastAsia" w:cs="Times New Roman"/>
        </w:rPr>
        <w:t>3</w:t>
      </w:r>
      <w:r>
        <w:rPr>
          <w:rFonts w:cs="Times New Roman"/>
        </w:rPr>
        <w:t>日，报告题目：</w:t>
      </w:r>
      <w:r>
        <w:rPr>
          <w:rFonts w:hint="eastAsia" w:cs="Times New Roman"/>
        </w:rPr>
        <w:t>魔芋葡聚糖研究与创新应用</w:t>
      </w:r>
      <w:r>
        <w:rPr>
          <w:rFonts w:cs="Times New Roman"/>
        </w:rPr>
        <w:t>；（2）主讲人</w:t>
      </w:r>
      <w:r>
        <w:rPr>
          <w:rFonts w:hint="eastAsia" w:cs="Times New Roman"/>
        </w:rPr>
        <w:t>雷红涛</w:t>
      </w:r>
      <w:r>
        <w:rPr>
          <w:rFonts w:cs="Times New Roman"/>
        </w:rPr>
        <w:t>，</w:t>
      </w:r>
      <w:r>
        <w:rPr>
          <w:rFonts w:hint="eastAsia" w:cs="Times New Roman"/>
        </w:rPr>
        <w:t>华南农业大学</w:t>
      </w:r>
      <w:r>
        <w:rPr>
          <w:rFonts w:cs="Times New Roman"/>
        </w:rPr>
        <w:t>，</w:t>
      </w:r>
      <w:r>
        <w:rPr>
          <w:rFonts w:hint="eastAsia" w:cs="Times New Roman"/>
        </w:rPr>
        <w:t>教授</w:t>
      </w:r>
      <w:r>
        <w:rPr>
          <w:rFonts w:cs="Times New Roman"/>
        </w:rPr>
        <w:t>，202</w:t>
      </w:r>
      <w:r>
        <w:rPr>
          <w:rFonts w:hint="eastAsia" w:cs="Times New Roman"/>
        </w:rPr>
        <w:t>2</w:t>
      </w:r>
      <w:r>
        <w:rPr>
          <w:rFonts w:cs="Times New Roman"/>
        </w:rPr>
        <w:t>年12月1</w:t>
      </w:r>
      <w:r>
        <w:rPr>
          <w:rFonts w:hint="eastAsia" w:cs="Times New Roman"/>
        </w:rPr>
        <w:t>3</w:t>
      </w:r>
      <w:r>
        <w:rPr>
          <w:rFonts w:cs="Times New Roman"/>
        </w:rPr>
        <w:t>日，报告题目：</w:t>
      </w:r>
      <w:r>
        <w:rPr>
          <w:rFonts w:hint="eastAsia" w:cs="Times New Roman"/>
        </w:rPr>
        <w:t>浅谈食品真实性</w:t>
      </w:r>
      <w:r>
        <w:rPr>
          <w:rFonts w:cs="Times New Roman"/>
        </w:rPr>
        <w:t>。</w:t>
      </w:r>
    </w:p>
    <w:p w14:paraId="38EBEE23">
      <w:pPr>
        <w:pStyle w:val="2"/>
        <w:spacing w:line="560" w:lineRule="exact"/>
        <w:ind w:firstLine="560"/>
        <w:rPr>
          <w:rFonts w:ascii="Times New Roman" w:hAnsi="Times New Roman" w:eastAsia="宋体" w:cs="Times New Roman"/>
        </w:rPr>
      </w:pPr>
      <w:r>
        <w:rPr>
          <w:rFonts w:ascii="Times New Roman" w:hAnsi="Times New Roman" w:eastAsia="宋体" w:cs="Times New Roman"/>
        </w:rPr>
        <w:t>4.导师指导</w:t>
      </w:r>
    </w:p>
    <w:p w14:paraId="364F19A3">
      <w:pPr>
        <w:ind w:firstLine="560" w:firstLineChars="200"/>
        <w:rPr>
          <w:rFonts w:cs="Times New Roman"/>
          <w:color w:val="0000FF"/>
          <w:szCs w:val="28"/>
        </w:rPr>
      </w:pPr>
      <w:r>
        <w:rPr>
          <w:rFonts w:cs="Times New Roman"/>
          <w:color w:val="0000FF"/>
          <w:szCs w:val="28"/>
        </w:rPr>
        <w:t>本学位点导师队伍的选聘、培训、考核情况，导师指导研究生的制度要求和执行情况，博士生导师岗位管理制度建设和落实情况（博士学位授权点填写）。</w:t>
      </w:r>
    </w:p>
    <w:p w14:paraId="57994698">
      <w:pPr>
        <w:ind w:firstLine="619"/>
        <w:rPr>
          <w:rFonts w:cs="Times New Roman"/>
        </w:rPr>
      </w:pPr>
      <w:r>
        <w:rPr>
          <w:rFonts w:cs="Times New Roman"/>
          <w:szCs w:val="28"/>
        </w:rPr>
        <w:t>本学位点</w:t>
      </w:r>
      <w:r>
        <w:rPr>
          <w:rFonts w:cs="Times New Roman"/>
        </w:rPr>
        <w:t>严格遵照《江西农大研究生指导教师管理办法》和《江西农业大学全面落实研究生导师立德树人职责实施细则》等文件精神和规定，对导师进行选聘、培训和考核，坚持公正、公平、公开的原则，实行“坚持标准、按需设岗、择优上岗、动态管理”的机制，选拔责任心强、指导能力突出、学术水平较高的教师担任导师。对导师实施“动态管理”机制，严格按照《江西农业大学研究生指导教师招生资格年度审核办法》和《江西农业大学研究生指导教师指导能力评价办法》对导师的招生资格和执导能力进行审查，以保证在岗导师的工作能力和指导质量。</w:t>
      </w:r>
    </w:p>
    <w:p w14:paraId="2B17B6F2">
      <w:pPr>
        <w:ind w:firstLine="619"/>
        <w:rPr>
          <w:rFonts w:cs="Times New Roman"/>
        </w:rPr>
      </w:pPr>
      <w:r>
        <w:rPr>
          <w:rFonts w:cs="Times New Roman"/>
        </w:rPr>
        <w:t>对于导师指导研究生，学位点要求导师严格遵守国家、省和学校的相关制度和规定，对执行情况实行严格监督；实行“导师是研究生培养的第一责任人”制度；明确导师“立德树人”的职责；导师应该为研究生树立榜样，在自己严格遵守学术道德规范的同时，还要严格要求研究生也同样要恪守规范；实施“师德一票否决制度”。</w:t>
      </w:r>
    </w:p>
    <w:p w14:paraId="222D4E6D">
      <w:pPr>
        <w:ind w:firstLine="619"/>
        <w:rPr>
          <w:rFonts w:cs="Times New Roman"/>
        </w:rPr>
      </w:pPr>
      <w:r>
        <w:rPr>
          <w:rFonts w:hint="eastAsia" w:cs="Times New Roman"/>
        </w:rPr>
        <w:t>2022年度本学位点所有导师依</w:t>
      </w:r>
      <w:r>
        <w:rPr>
          <w:rFonts w:cs="Times New Roman"/>
        </w:rPr>
        <w:t>《江西农业大学研究生指导教师指导能力评价办法》</w:t>
      </w:r>
      <w:r>
        <w:rPr>
          <w:rFonts w:hint="eastAsia" w:cs="Times New Roman"/>
        </w:rPr>
        <w:t>评价合格，另外本年度新增</w:t>
      </w:r>
      <w:r>
        <w:rPr>
          <w:rFonts w:cs="Times New Roman"/>
        </w:rPr>
        <w:t>硕士研究生导师5人。</w:t>
      </w:r>
    </w:p>
    <w:p w14:paraId="698CB0E4">
      <w:pPr>
        <w:ind w:firstLine="621"/>
        <w:rPr>
          <w:rFonts w:cs="Times New Roman"/>
          <w:b/>
          <w:bCs/>
        </w:rPr>
      </w:pPr>
    </w:p>
    <w:p w14:paraId="1E6DFDEF">
      <w:pPr>
        <w:ind w:firstLine="621"/>
        <w:rPr>
          <w:rFonts w:cs="Times New Roman"/>
          <w:b/>
          <w:bCs/>
        </w:rPr>
      </w:pPr>
      <w:r>
        <w:rPr>
          <w:rFonts w:cs="Times New Roman"/>
          <w:b/>
          <w:bCs/>
        </w:rPr>
        <w:t>5.学术训练</w:t>
      </w:r>
    </w:p>
    <w:p w14:paraId="639FFE7C">
      <w:pPr>
        <w:ind w:firstLine="560" w:firstLineChars="200"/>
        <w:rPr>
          <w:rFonts w:cs="Times New Roman"/>
          <w:color w:val="0000FF"/>
          <w:szCs w:val="28"/>
        </w:rPr>
      </w:pPr>
      <w:r>
        <w:rPr>
          <w:rFonts w:cs="Times New Roman"/>
          <w:color w:val="0000FF"/>
          <w:szCs w:val="28"/>
        </w:rPr>
        <w:t>本学位点研究生参与学术训练及科教融合培养研究生成效，包括制度保证、经费支持等。</w:t>
      </w:r>
    </w:p>
    <w:p w14:paraId="472B9E4E">
      <w:pPr>
        <w:pStyle w:val="12"/>
        <w:ind w:left="0" w:leftChars="0" w:firstLine="0" w:firstLineChars="0"/>
      </w:pPr>
      <w:r>
        <w:rPr>
          <w:rFonts w:hint="eastAsia"/>
        </w:rPr>
        <w:t xml:space="preserve">    </w:t>
      </w:r>
      <w:r>
        <w:rPr>
          <w:rFonts w:hint="eastAsia" w:cs="Times New Roman"/>
        </w:rPr>
        <w:t>依据</w:t>
      </w:r>
      <w:r>
        <w:rPr>
          <w:rFonts w:cs="Times New Roman"/>
        </w:rPr>
        <w:t>《江西农业大学研究生指导教师指导能力评价办法》</w:t>
      </w:r>
      <w:r>
        <w:rPr>
          <w:rFonts w:hint="eastAsia" w:cs="Times New Roman"/>
        </w:rPr>
        <w:t>，要求本学位点导师招生时帐上经费&gt;5万元/生，以保证所招收研究生的科研经费开支。本学位点所有导师招生时基本都有在研省部级或国家级科研课题，研究生参与相关课题研究。所有导师近5年都在本领域国内外期刊中发表过高水平的论文。2022年度学位点</w:t>
      </w:r>
      <w:r>
        <w:t>研究生获</w:t>
      </w:r>
      <w:r>
        <w:rPr>
          <w:rFonts w:hint="eastAsia"/>
        </w:rPr>
        <w:t>3项</w:t>
      </w:r>
      <w:r>
        <w:t>省研究生创新基金项目，</w:t>
      </w:r>
      <w:r>
        <w:rPr>
          <w:rFonts w:hint="eastAsia"/>
        </w:rPr>
        <w:t>3人获研究生国家奖学金，以研究生为第一作者发表论文60篇，其中 SCI 论文45篇、EI论文3篇；10人次通过申请考核方式考取浙江大学、华南理工大学、江南大学等高校博士研究生。</w:t>
      </w:r>
    </w:p>
    <w:p w14:paraId="78E454ED">
      <w:pPr>
        <w:ind w:firstLine="621"/>
        <w:rPr>
          <w:rFonts w:cs="Times New Roman"/>
          <w:b/>
          <w:bCs/>
        </w:rPr>
      </w:pPr>
      <w:r>
        <w:rPr>
          <w:rFonts w:cs="Times New Roman"/>
          <w:b/>
          <w:bCs/>
        </w:rPr>
        <w:t>6.学术交流</w:t>
      </w:r>
    </w:p>
    <w:p w14:paraId="258C06A5">
      <w:pPr>
        <w:ind w:firstLine="560" w:firstLineChars="200"/>
        <w:rPr>
          <w:rFonts w:cs="Times New Roman"/>
          <w:color w:val="0000FF"/>
          <w:szCs w:val="28"/>
        </w:rPr>
      </w:pPr>
      <w:r>
        <w:rPr>
          <w:rFonts w:cs="Times New Roman"/>
          <w:color w:val="0000FF"/>
          <w:szCs w:val="28"/>
        </w:rPr>
        <w:t>本学位点本年度教师及研究生参与国际国内学术交流的基本情况，是否做大会报告；学位点教师在国际组织、学术组织任职情况，担任国内外学术刊物主编情况。</w:t>
      </w:r>
    </w:p>
    <w:p w14:paraId="2949F238">
      <w:pPr>
        <w:ind w:firstLine="619"/>
        <w:rPr>
          <w:rFonts w:cs="Times New Roman"/>
          <w:szCs w:val="28"/>
        </w:rPr>
      </w:pPr>
      <w:r>
        <w:rPr>
          <w:rFonts w:cs="Times New Roman"/>
          <w:szCs w:val="28"/>
        </w:rPr>
        <w:t>学位点教师及研究生</w:t>
      </w:r>
      <w:r>
        <w:rPr>
          <w:rFonts w:hint="eastAsia" w:cs="Times New Roman"/>
          <w:szCs w:val="28"/>
        </w:rPr>
        <w:t>积极</w:t>
      </w:r>
      <w:r>
        <w:rPr>
          <w:rFonts w:cs="Times New Roman"/>
          <w:szCs w:val="28"/>
        </w:rPr>
        <w:t>参与国际国内学术交流</w:t>
      </w:r>
      <w:r>
        <w:rPr>
          <w:rFonts w:hint="eastAsia" w:cs="Times New Roman"/>
          <w:szCs w:val="28"/>
        </w:rPr>
        <w:t xml:space="preserve">，受新冠疫情影响，本年度线下学术交流活动减少，但线上交流增多。本年度协办全国性学术会议 2 次；邀请 </w:t>
      </w:r>
      <w:r>
        <w:rPr>
          <w:rFonts w:hint="eastAsia" w:cs="Times New Roman"/>
          <w:szCs w:val="28"/>
          <w:lang w:val="en-US" w:eastAsia="zh-CN"/>
        </w:rPr>
        <w:t>2</w:t>
      </w:r>
      <w:r>
        <w:rPr>
          <w:rFonts w:hint="eastAsia" w:cs="Times New Roman"/>
          <w:szCs w:val="28"/>
        </w:rPr>
        <w:t xml:space="preserve"> 位国内外专家为师生做学术报告，教师通过线上线下参加国内和国际学术研讨会并作大会报告20人次，促进了食品行业的科技交流。共有20余名导师在中国畜产品加工研究学会、江西省食品科学技术学会等学术组织，或在</w:t>
      </w:r>
      <w:r>
        <w:rPr>
          <w:rFonts w:hint="eastAsia" w:eastAsia="微软雅黑" w:cs="Times New Roman"/>
          <w:szCs w:val="28"/>
        </w:rPr>
        <w:t>《</w:t>
      </w:r>
      <w:r>
        <w:rPr>
          <w:rFonts w:eastAsia="微软雅黑" w:cs="Times New Roman"/>
          <w:szCs w:val="28"/>
        </w:rPr>
        <w:t>Nutrients</w:t>
      </w:r>
      <w:r>
        <w:rPr>
          <w:rFonts w:hint="eastAsia" w:eastAsia="微软雅黑" w:cs="Times New Roman"/>
          <w:szCs w:val="28"/>
        </w:rPr>
        <w:t>》、《Frontiers in Nutrition》、</w:t>
      </w:r>
      <w:r>
        <w:rPr>
          <w:rFonts w:hint="eastAsia" w:cs="Times New Roman"/>
          <w:szCs w:val="28"/>
        </w:rPr>
        <w:t>《食品科学》、《肉类研究》等国内外学术刊物中任职。</w:t>
      </w:r>
    </w:p>
    <w:p w14:paraId="74F0A2D7">
      <w:pPr>
        <w:pStyle w:val="12"/>
        <w:ind w:left="560" w:firstLine="619"/>
      </w:pPr>
    </w:p>
    <w:p w14:paraId="213D03B1">
      <w:pPr>
        <w:ind w:firstLine="621"/>
        <w:rPr>
          <w:rFonts w:cs="Times New Roman"/>
          <w:b/>
          <w:bCs/>
        </w:rPr>
      </w:pPr>
      <w:r>
        <w:rPr>
          <w:rFonts w:cs="Times New Roman"/>
          <w:b/>
          <w:bCs/>
        </w:rPr>
        <w:t>7.论文质量</w:t>
      </w:r>
    </w:p>
    <w:p w14:paraId="273DADB3">
      <w:pPr>
        <w:ind w:firstLine="560" w:firstLineChars="200"/>
        <w:rPr>
          <w:rFonts w:cs="Times New Roman"/>
          <w:color w:val="0000FF"/>
          <w:szCs w:val="28"/>
        </w:rPr>
      </w:pPr>
      <w:r>
        <w:rPr>
          <w:rFonts w:cs="Times New Roman"/>
          <w:color w:val="0000FF"/>
          <w:szCs w:val="28"/>
        </w:rPr>
        <w:t>体现本学科特点的学位论文规范、评阅规则和核查办法的制定及执行情况。本学位点学位论文在本年度各类论文抽检、评审中的情况和论文质量分析。</w:t>
      </w:r>
    </w:p>
    <w:p w14:paraId="078B4BB9">
      <w:pPr>
        <w:ind w:firstLine="619"/>
        <w:rPr>
          <w:rFonts w:ascii="微软雅黑" w:hAnsi="微软雅黑" w:eastAsia="微软雅黑" w:cs="微软雅黑"/>
          <w:highlight w:val="yellow"/>
        </w:rPr>
      </w:pPr>
      <w:r>
        <w:rPr>
          <w:rFonts w:hint="eastAsia"/>
        </w:rPr>
        <w:t>学位论文撰写均严格按照《江西农业大学研究生学位论文书写及印制规定》。研究生提交论文后，须经过查重，重复率高于20%，将延期半年答辩。查重通过后，送校外本领域两位副教授以上专家评审，全部认为合格后才能进入答辩环节。2022年度，本学位点所有毕业论文送审全部通过，共有14位研究生毕业并获得相应的学位。2022年度，本学位点各类论文抽检均合格。上述数据表明，本领域研究生毕业论文质量较好。</w:t>
      </w:r>
    </w:p>
    <w:p w14:paraId="6FB327E8">
      <w:pPr>
        <w:pStyle w:val="2"/>
        <w:spacing w:line="560" w:lineRule="exact"/>
        <w:ind w:firstLine="562"/>
        <w:rPr>
          <w:rFonts w:ascii="Times New Roman" w:hAnsi="Times New Roman" w:eastAsia="宋体" w:cs="Times New Roman"/>
          <w:b/>
          <w:bCs/>
          <w:szCs w:val="28"/>
        </w:rPr>
      </w:pPr>
      <w:r>
        <w:rPr>
          <w:rFonts w:ascii="Times New Roman" w:hAnsi="Times New Roman" w:eastAsia="宋体" w:cs="Times New Roman"/>
          <w:b/>
          <w:bCs/>
          <w:szCs w:val="28"/>
        </w:rPr>
        <w:t>8.质量保证</w:t>
      </w:r>
    </w:p>
    <w:p w14:paraId="069C0918">
      <w:pPr>
        <w:ind w:firstLine="560" w:firstLineChars="200"/>
        <w:rPr>
          <w:rFonts w:cs="Times New Roman"/>
          <w:color w:val="0000FF"/>
          <w:szCs w:val="28"/>
        </w:rPr>
      </w:pPr>
      <w:r>
        <w:rPr>
          <w:rFonts w:cs="Times New Roman"/>
          <w:color w:val="0000FF"/>
          <w:szCs w:val="28"/>
        </w:rPr>
        <w:t>本学位点培养全过程监控与质量保证、加强学位论文和学位授予管理、强化指导教师质量管控责任、分流淘汰机制等情况。</w:t>
      </w:r>
    </w:p>
    <w:p w14:paraId="640D2ABF">
      <w:pPr>
        <w:pStyle w:val="14"/>
        <w:adjustRightInd w:val="0"/>
        <w:snapToGrid w:val="0"/>
        <w:ind w:left="200" w:firstLine="439" w:firstLineChars="157"/>
        <w:rPr>
          <w:rFonts w:cs="Times New Roman"/>
          <w:color w:val="000000"/>
          <w:szCs w:val="28"/>
        </w:rPr>
      </w:pPr>
      <w:r>
        <w:rPr>
          <w:rFonts w:cs="Times New Roman"/>
          <w:color w:val="000000"/>
          <w:szCs w:val="28"/>
        </w:rPr>
        <w:t>为了保证研究生培养质量，本学位</w:t>
      </w:r>
      <w:r>
        <w:rPr>
          <w:rFonts w:hint="eastAsia" w:cs="Times New Roman"/>
          <w:color w:val="000000"/>
          <w:szCs w:val="28"/>
        </w:rPr>
        <w:t>点</w:t>
      </w:r>
      <w:r>
        <w:rPr>
          <w:rFonts w:cs="Times New Roman"/>
          <w:color w:val="000000"/>
          <w:szCs w:val="28"/>
        </w:rPr>
        <w:t>建立了培养全过程质量监控机制，明确了招生、课程教学、开题报告、中期考核、试验研究、论文撰写、学位论文评审、学位论文答辩等各个培养环节的质量要求，并建立了相应的评价机制；强调研究生培养质量管理的全员性、全程性、全方位性和全要素性；完善了校级、院级、专业领域、导师四个层面的质量管理运行机制；构建了“12345全过程跟踪式”质量监控体系，即围绕人才培养质量这一总体目标，确定了以研究生培养为中心的“导”与“学”的两个主体，建设了被监控主体层面的“自控”、学院与学校层面的“校控”、校外社会层面的“社控”三个控制层次，确立了研究生院、学院、</w:t>
      </w:r>
      <w:r>
        <w:rPr>
          <w:rFonts w:hint="eastAsia" w:cs="Times New Roman"/>
          <w:color w:val="000000"/>
          <w:szCs w:val="28"/>
        </w:rPr>
        <w:t>学位点</w:t>
      </w:r>
      <w:r>
        <w:rPr>
          <w:rFonts w:cs="Times New Roman"/>
          <w:color w:val="000000"/>
          <w:szCs w:val="28"/>
        </w:rPr>
        <w:t>、导师四级监控体系，重点把握“理论学习”、“专业实践”、”开题报告“、“中期考核”、“毕业答辩”五个关键环节，构建起了一个基于人才培养目标、涵盖各主要培养环节的“全过程跟踪式”质量监控和保证体系。</w:t>
      </w:r>
    </w:p>
    <w:p w14:paraId="20F2E066">
      <w:pPr>
        <w:pStyle w:val="14"/>
        <w:adjustRightInd w:val="0"/>
        <w:snapToGrid w:val="0"/>
        <w:ind w:left="200" w:firstLine="439" w:firstLineChars="157"/>
        <w:rPr>
          <w:rFonts w:cs="Times New Roman"/>
          <w:color w:val="000000"/>
          <w:szCs w:val="28"/>
        </w:rPr>
      </w:pPr>
      <w:r>
        <w:rPr>
          <w:rFonts w:cs="Times New Roman"/>
          <w:color w:val="000000"/>
          <w:szCs w:val="28"/>
        </w:rPr>
        <w:t>加强学位论文和学位授予的管理，严格遵守学校关于学位论文撰写、送审、答辩和印制的规范，加强”论文送审“和”论文答辩“两个关键环节的管控，强化了导师在研究生论文质量上所负的责任；实行“导师是研究生培养的第一责任人”制度；对于未达到毕业要求的论文不送审；对未达到答辩要求的不予以答辩；对答辩不通过的学生予以延迟毕业。</w:t>
      </w:r>
    </w:p>
    <w:p w14:paraId="2B2AA643">
      <w:pPr>
        <w:ind w:firstLine="621"/>
        <w:rPr>
          <w:rFonts w:cs="Times New Roman"/>
          <w:b/>
          <w:bCs/>
        </w:rPr>
      </w:pPr>
      <w:r>
        <w:rPr>
          <w:rFonts w:cs="Times New Roman"/>
          <w:b/>
          <w:bCs/>
        </w:rPr>
        <w:t>9.学风建设</w:t>
      </w:r>
    </w:p>
    <w:p w14:paraId="4A162981">
      <w:pPr>
        <w:ind w:firstLine="560" w:firstLineChars="200"/>
        <w:rPr>
          <w:rFonts w:cs="Times New Roman"/>
          <w:color w:val="0000FF"/>
          <w:szCs w:val="28"/>
        </w:rPr>
      </w:pPr>
      <w:r>
        <w:rPr>
          <w:rFonts w:cs="Times New Roman"/>
          <w:color w:val="0000FF"/>
          <w:szCs w:val="28"/>
        </w:rPr>
        <w:t>本学位点本年度科学道德和学术规范教育开展情况，学术不端行为处理情况。</w:t>
      </w:r>
    </w:p>
    <w:p w14:paraId="1ABAFBCB">
      <w:pPr>
        <w:pStyle w:val="14"/>
        <w:adjustRightInd w:val="0"/>
        <w:snapToGrid w:val="0"/>
        <w:ind w:left="200" w:firstLine="439" w:firstLineChars="157"/>
        <w:rPr>
          <w:rFonts w:cs="Times New Roman"/>
          <w:color w:val="000000"/>
          <w:szCs w:val="28"/>
        </w:rPr>
      </w:pPr>
      <w:r>
        <w:rPr>
          <w:rFonts w:cs="Times New Roman"/>
          <w:color w:val="000000"/>
          <w:szCs w:val="28"/>
        </w:rPr>
        <w:t>本</w:t>
      </w:r>
      <w:r>
        <w:rPr>
          <w:rFonts w:hint="eastAsia" w:cs="Times New Roman"/>
          <w:color w:val="000000"/>
          <w:szCs w:val="28"/>
        </w:rPr>
        <w:t>学位点</w:t>
      </w:r>
      <w:r>
        <w:rPr>
          <w:rFonts w:cs="Times New Roman"/>
          <w:color w:val="000000"/>
          <w:szCs w:val="28"/>
        </w:rPr>
        <w:t>坚决贯彻落实《高等学校预防与处理学术不端行为办法》(中华人民共和国教育部令第40号)、《中国科协、教育部关于开展科学道德和学风建设宣讲教育活动的通知》（科协发组字[2011]38号）和赣农大发[2013]31号文件《江西农业大学学位作假行为处理办法》等文件精神，对学术不端行为实行”零容忍“；在新生入学、培养过程、毕业答辩和导师培训等环节多措并举，引导研究生树立学术规范理念，不断提升科学道德水平；优化研究生学术诚信环境，增强研究生的科学道德精神和学风自律意识，培育优良学风，确保科学道德和学风建设工作全覆盖、制度化、重实效。2021年度，本领域未发现学术不端行为。</w:t>
      </w:r>
    </w:p>
    <w:p w14:paraId="2D6A6694">
      <w:pPr>
        <w:pStyle w:val="2"/>
        <w:spacing w:line="560" w:lineRule="exact"/>
        <w:ind w:firstLine="562"/>
        <w:rPr>
          <w:rFonts w:ascii="Times New Roman" w:hAnsi="Times New Roman" w:eastAsia="宋体" w:cs="Times New Roman"/>
          <w:b/>
          <w:bCs/>
        </w:rPr>
      </w:pPr>
      <w:r>
        <w:rPr>
          <w:rFonts w:ascii="Times New Roman" w:hAnsi="Times New Roman" w:eastAsia="宋体" w:cs="Times New Roman"/>
          <w:b/>
          <w:bCs/>
        </w:rPr>
        <w:t>10.管理服务</w:t>
      </w:r>
    </w:p>
    <w:p w14:paraId="474400FF">
      <w:pPr>
        <w:ind w:firstLine="560" w:firstLineChars="200"/>
        <w:rPr>
          <w:rFonts w:cs="Times New Roman"/>
          <w:color w:val="0000FF"/>
          <w:szCs w:val="28"/>
        </w:rPr>
      </w:pPr>
      <w:r>
        <w:rPr>
          <w:rFonts w:cs="Times New Roman"/>
          <w:color w:val="0000FF"/>
          <w:szCs w:val="28"/>
        </w:rPr>
        <w:t>本学位点专职管理人员配备情况，研究生权益保障制度建立情况，在学研究生满意度调查情况等。</w:t>
      </w:r>
    </w:p>
    <w:p w14:paraId="4E4FF324">
      <w:pPr>
        <w:pStyle w:val="14"/>
        <w:adjustRightInd w:val="0"/>
        <w:snapToGrid w:val="0"/>
        <w:ind w:left="200" w:firstLine="439" w:firstLineChars="157"/>
        <w:rPr>
          <w:rFonts w:cs="Times New Roman"/>
        </w:rPr>
      </w:pPr>
      <w:r>
        <w:rPr>
          <w:rFonts w:cs="Times New Roman"/>
        </w:rPr>
        <w:t>在管理人员配备上：为了做好研究生管理服务工作，确保研究生的各项权益，本</w:t>
      </w:r>
      <w:r>
        <w:rPr>
          <w:rFonts w:hint="eastAsia" w:cs="Times New Roman"/>
        </w:rPr>
        <w:t>学位点</w:t>
      </w:r>
      <w:r>
        <w:rPr>
          <w:rFonts w:cs="Times New Roman"/>
        </w:rPr>
        <w:t>设置了专业领域负责人、教学管理员和思政辅导员，与导师一起为研究生提供更加专业、全面的管理服务。学院设立了研究生党支部，由经验丰富的专业教师担任支部书记，组织委员和宣传委员则由政治素质高的研究生担任，在组织上和制度上保证了师生之间沟通的通畅性。</w:t>
      </w:r>
    </w:p>
    <w:p w14:paraId="4AB3320F">
      <w:pPr>
        <w:pStyle w:val="14"/>
        <w:adjustRightInd w:val="0"/>
        <w:snapToGrid w:val="0"/>
        <w:ind w:left="200" w:firstLine="439" w:firstLineChars="157"/>
        <w:rPr>
          <w:rFonts w:cs="Times New Roman"/>
        </w:rPr>
      </w:pPr>
      <w:r>
        <w:rPr>
          <w:rFonts w:cs="Times New Roman"/>
        </w:rPr>
        <w:t>在制度层面上：进一步完善了研究生日常管理制度，根据国家和学校研究生奖学金评定制度和规则，制订了“食品学院研究生国家奖学金评定细则”，该制度自实施以来已根据实际情况修订了两次，现行版本为2019年修订，其它奖学金评定制度也进行了适时修订，从制度层面上保证了管理的规范性，保障了研究生在奖助学金等方面的正当权益。</w:t>
      </w:r>
    </w:p>
    <w:p w14:paraId="56A9BFE7">
      <w:pPr>
        <w:pStyle w:val="14"/>
        <w:adjustRightInd w:val="0"/>
        <w:snapToGrid w:val="0"/>
        <w:ind w:left="200" w:firstLine="439" w:firstLineChars="157"/>
        <w:rPr>
          <w:rFonts w:cs="Times New Roman"/>
        </w:rPr>
      </w:pPr>
      <w:r>
        <w:rPr>
          <w:rFonts w:cs="Times New Roman"/>
        </w:rPr>
        <w:t>为了更好地服务于学生，建立了“食品学院研究生师生群”，导师和学生全部入群，该群成为了科研、教学、生活沟通和交流的重要平台，也是研究表达心声的重要通道；在近年来抗击疫情的大背景下，该群也成为了疫情信息发布、健康信息沟通 疫情防控交流的重要平台。总体来说，研究生对本</w:t>
      </w:r>
      <w:r>
        <w:rPr>
          <w:rFonts w:hint="eastAsia" w:cs="Times New Roman"/>
        </w:rPr>
        <w:t>学位点</w:t>
      </w:r>
      <w:r>
        <w:rPr>
          <w:rFonts w:cs="Times New Roman"/>
        </w:rPr>
        <w:t>管理服务工作比较满意，部分学生表示非常满意。</w:t>
      </w:r>
    </w:p>
    <w:p w14:paraId="444846A4">
      <w:pPr>
        <w:pStyle w:val="14"/>
        <w:adjustRightInd w:val="0"/>
        <w:snapToGrid w:val="0"/>
        <w:ind w:left="200" w:firstLine="441" w:firstLineChars="157"/>
        <w:rPr>
          <w:rFonts w:cs="Times New Roman"/>
          <w:b/>
          <w:bCs/>
        </w:rPr>
      </w:pPr>
      <w:r>
        <w:rPr>
          <w:rFonts w:cs="Times New Roman"/>
          <w:b/>
          <w:bCs/>
        </w:rPr>
        <w:t>11.就业发展</w:t>
      </w:r>
    </w:p>
    <w:p w14:paraId="564E1021">
      <w:pPr>
        <w:widowControl w:val="0"/>
        <w:autoSpaceDE w:val="0"/>
        <w:autoSpaceDN w:val="0"/>
        <w:spacing w:before="148" w:line="240" w:lineRule="auto"/>
        <w:ind w:firstLine="0" w:firstLineChars="0"/>
        <w:jc w:val="left"/>
        <w:rPr>
          <w:rFonts w:cs="Times New Roman"/>
          <w:szCs w:val="28"/>
        </w:rPr>
      </w:pPr>
      <w:r>
        <w:rPr>
          <w:rFonts w:cs="Times New Roman"/>
          <w:color w:val="0000FF"/>
          <w:szCs w:val="28"/>
        </w:rPr>
        <w:t>本年度本学位点在校生及学位授予情况、硕士研究生继续攻读国内外博士研究生比例，毕业研究生的就业率、就业去向分析，用人单位意见反馈和毕业生发展质量调查情况。</w:t>
      </w:r>
    </w:p>
    <w:p w14:paraId="095CC0A0">
      <w:pPr>
        <w:pStyle w:val="12"/>
        <w:ind w:left="0" w:leftChars="0" w:firstLine="560" w:firstLineChars="0"/>
        <w:rPr>
          <w:rFonts w:cs="Times New Roman"/>
          <w:szCs w:val="28"/>
        </w:rPr>
      </w:pPr>
      <w:r>
        <w:rPr>
          <w:rFonts w:cs="Times New Roman"/>
          <w:szCs w:val="28"/>
        </w:rPr>
        <w:t>本年度本学位点</w:t>
      </w:r>
      <w:r>
        <w:rPr>
          <w:rFonts w:hint="eastAsia" w:cs="Times New Roman"/>
          <w:szCs w:val="28"/>
        </w:rPr>
        <w:t>毕业人数14人，授予学位人数14人；5人通过申请考核方式考取华南理工大学、江南大学等高校博士研究生，</w:t>
      </w:r>
      <w:r>
        <w:rPr>
          <w:rFonts w:cs="Times New Roman"/>
          <w:szCs w:val="28"/>
        </w:rPr>
        <w:t>攻读博士研究生比例</w:t>
      </w:r>
      <w:r>
        <w:rPr>
          <w:rFonts w:hint="eastAsia" w:cs="Times New Roman"/>
          <w:szCs w:val="28"/>
        </w:rPr>
        <w:t>为35.7%。其余人员就业于国家机关、企事业单位等，就业率100%。</w:t>
      </w:r>
    </w:p>
    <w:p w14:paraId="115F77A2">
      <w:pPr>
        <w:pStyle w:val="12"/>
        <w:ind w:left="0" w:leftChars="0" w:firstLine="560" w:firstLineChars="0"/>
        <w:rPr>
          <w:rFonts w:cs="Times New Roman"/>
          <w:szCs w:val="28"/>
        </w:rPr>
      </w:pPr>
      <w:r>
        <w:rPr>
          <w:rFonts w:cs="Times New Roman"/>
          <w:szCs w:val="28"/>
        </w:rPr>
        <w:t>为了促进就业，学院层面建立了相应的人才需求和就业动态反馈机制，及时在“食品学院研究生师生群”里发布人才需求和就业状况；导师如了解到就业信息，也会第一时间在群里进行发布，让研究生和用人单位及时进行沟通，促进就业。</w:t>
      </w:r>
    </w:p>
    <w:p w14:paraId="734357E9">
      <w:pPr>
        <w:pStyle w:val="12"/>
        <w:ind w:left="0" w:leftChars="0" w:firstLine="560" w:firstLineChars="0"/>
        <w:rPr>
          <w:rFonts w:cs="Times New Roman"/>
          <w:szCs w:val="28"/>
        </w:rPr>
      </w:pPr>
      <w:r>
        <w:rPr>
          <w:rFonts w:cs="Times New Roman"/>
          <w:szCs w:val="28"/>
        </w:rPr>
        <w:t>为了及时了解用人单位意见和毕业生发展质量情况，学院组织成立了毕业生跟踪反馈工作小组，该小组由学院主管研究生工作领导、专业领域负责人、学工办、招生与就业工作办、辅导员等人员组成，原则上每年进行一次跟踪调查，以促进研究生培养和就业。</w:t>
      </w:r>
    </w:p>
    <w:p w14:paraId="1AA2430D">
      <w:pPr>
        <w:pStyle w:val="12"/>
        <w:ind w:left="0" w:leftChars="0" w:firstLine="560" w:firstLineChars="0"/>
        <w:rPr>
          <w:rFonts w:cs="Times New Roman"/>
          <w:szCs w:val="28"/>
        </w:rPr>
      </w:pPr>
      <w:r>
        <w:rPr>
          <w:rFonts w:cs="Times New Roman"/>
          <w:szCs w:val="28"/>
        </w:rPr>
        <w:t>为了加强对本专业领域研究生的职业规划和就业创业指导，提高就业质量，学院采取发多项保障措施：（1）设置了就业指导中心和创新创业办公室，并出台相关规定与制度，工作人员任务明确、职责清晰，较好的推动了就业创业指导工作。（2）开展了“校友企业家进课堂”系列活动，聘任食品行业技术专家和经验丰富的企业生产专业技术人员担任研究生的校外导师，进行联合培养。（3）建立了就业咨询指导制度，“就业指导中心”在工作日都有固定的就业指导工作人员接受咨询，为研究生就业进行咨询服务和帮扶。（4）为进一步密切学院与用人单位之间的长期合作关系，拓宽就业渠道，学院积极与食品相关企业共建实习与就业基地，为用人单位选拔和输送所需专业人才。</w:t>
      </w:r>
    </w:p>
    <w:p w14:paraId="761C9167">
      <w:pPr>
        <w:ind w:firstLine="621"/>
        <w:rPr>
          <w:rFonts w:cs="Times New Roman"/>
          <w:b/>
          <w:bCs/>
        </w:rPr>
      </w:pPr>
      <w:r>
        <w:rPr>
          <w:rFonts w:cs="Times New Roman"/>
          <w:b/>
          <w:bCs/>
        </w:rPr>
        <w:t>（四）服务贡献情况</w:t>
      </w:r>
    </w:p>
    <w:p w14:paraId="2DBF8D01">
      <w:pPr>
        <w:ind w:firstLine="562" w:firstLineChars="200"/>
        <w:rPr>
          <w:rFonts w:cs="Times New Roman"/>
          <w:b/>
          <w:bCs/>
        </w:rPr>
      </w:pPr>
      <w:r>
        <w:rPr>
          <w:rFonts w:cs="Times New Roman"/>
          <w:b/>
          <w:bCs/>
        </w:rPr>
        <w:t>1.科技进步</w:t>
      </w:r>
    </w:p>
    <w:p w14:paraId="3F502BFD">
      <w:pPr>
        <w:ind w:firstLine="560" w:firstLineChars="200"/>
        <w:rPr>
          <w:rFonts w:cs="Times New Roman"/>
          <w:color w:val="0000FF"/>
          <w:szCs w:val="28"/>
        </w:rPr>
      </w:pPr>
      <w:r>
        <w:rPr>
          <w:rFonts w:cs="Times New Roman"/>
          <w:color w:val="0000FF"/>
          <w:szCs w:val="28"/>
        </w:rPr>
        <w:t>本学位点本年度在科技获奖、科研成果转化、授权专利、促进科技进步等方面的情况。</w:t>
      </w:r>
    </w:p>
    <w:p w14:paraId="31632446">
      <w:pPr>
        <w:pStyle w:val="2"/>
        <w:spacing w:line="560" w:lineRule="exact"/>
        <w:ind w:firstLine="560"/>
        <w:rPr>
          <w:rFonts w:ascii="Times New Roman" w:hAnsi="Times New Roman" w:eastAsia="宋体" w:cs="Times New Roman"/>
          <w:color w:val="auto"/>
        </w:rPr>
      </w:pPr>
      <w:r>
        <w:rPr>
          <w:rFonts w:ascii="Times New Roman" w:hAnsi="Times New Roman" w:eastAsia="宋体" w:cs="Times New Roman"/>
          <w:color w:val="auto"/>
        </w:rPr>
        <w:t>202</w:t>
      </w:r>
      <w:r>
        <w:rPr>
          <w:rFonts w:hint="eastAsia" w:cs="Times New Roman"/>
          <w:color w:val="auto"/>
        </w:rPr>
        <w:t>2</w:t>
      </w:r>
      <w:r>
        <w:rPr>
          <w:rFonts w:ascii="Times New Roman" w:hAnsi="Times New Roman" w:eastAsia="宋体" w:cs="Times New Roman"/>
          <w:color w:val="auto"/>
        </w:rPr>
        <w:t>年度，本学位</w:t>
      </w:r>
      <w:r>
        <w:rPr>
          <w:rFonts w:hint="eastAsia" w:ascii="Times New Roman" w:hAnsi="Times New Roman" w:eastAsia="宋体" w:cs="Times New Roman"/>
          <w:color w:val="auto"/>
        </w:rPr>
        <w:t>点</w:t>
      </w:r>
      <w:r>
        <w:rPr>
          <w:rFonts w:ascii="Times New Roman" w:hAnsi="Times New Roman" w:eastAsia="宋体" w:cs="Times New Roman"/>
          <w:color w:val="auto"/>
        </w:rPr>
        <w:t>教师共获得</w:t>
      </w:r>
      <w:r>
        <w:rPr>
          <w:rFonts w:ascii="仿宋" w:hAnsi="仿宋" w:eastAsia="仿宋" w:cs="仿宋"/>
          <w:color w:val="auto"/>
          <w:kern w:val="0"/>
          <w:sz w:val="31"/>
          <w:szCs w:val="31"/>
          <w:lang w:bidi="ar"/>
        </w:rPr>
        <w:t>国内外发明专利和实用新型专利 10 件</w:t>
      </w:r>
      <w:r>
        <w:rPr>
          <w:rFonts w:hint="eastAsia" w:ascii="Times New Roman" w:hAnsi="Times New Roman" w:eastAsia="宋体" w:cs="Times New Roman"/>
          <w:color w:val="auto"/>
        </w:rPr>
        <w:t>。</w:t>
      </w:r>
    </w:p>
    <w:p w14:paraId="7191104F">
      <w:pPr>
        <w:pStyle w:val="2"/>
        <w:spacing w:line="560" w:lineRule="exact"/>
        <w:ind w:firstLine="560"/>
        <w:rPr>
          <w:rFonts w:ascii="Times New Roman" w:hAnsi="Times New Roman" w:eastAsia="宋体" w:cs="Times New Roman"/>
          <w:color w:val="auto"/>
        </w:rPr>
      </w:pPr>
      <w:r>
        <w:rPr>
          <w:rFonts w:ascii="Times New Roman" w:hAnsi="Times New Roman" w:eastAsia="宋体" w:cs="Times New Roman"/>
          <w:color w:val="auto"/>
        </w:rPr>
        <w:t>在科技成果转化方面，</w:t>
      </w:r>
      <w:r>
        <w:rPr>
          <w:rFonts w:hint="eastAsia" w:ascii="Times New Roman" w:hAnsi="Times New Roman" w:eastAsia="宋体" w:cs="Times New Roman"/>
          <w:color w:val="auto"/>
        </w:rPr>
        <w:t>王文君、涂勇刚、沈勇根等许多教师</w:t>
      </w:r>
      <w:r>
        <w:rPr>
          <w:rFonts w:ascii="Times New Roman" w:hAnsi="Times New Roman" w:eastAsia="宋体" w:cs="Times New Roman"/>
          <w:color w:val="auto"/>
        </w:rPr>
        <w:t>与企业紧密合作，成效显著</w:t>
      </w:r>
      <w:r>
        <w:rPr>
          <w:rFonts w:hint="eastAsia" w:ascii="Times New Roman" w:hAnsi="Times New Roman" w:eastAsia="宋体" w:cs="Times New Roman"/>
          <w:color w:val="auto"/>
        </w:rPr>
        <w:t>。涂勇刚教授自2012 年以来多次为江西洪门实业集团有限公司提供技术服务，解决了皮蛋品质不稳定、鲜鸭蛋保鲜等诸多问题，并为其设计了科学规范的禽类屠宰新车间，同时共同开展了咸皮蛋、低盐咸蛋、无重金属化皮蛋的研发，部分产品已推广应用。王文君教授</w:t>
      </w:r>
      <w:r>
        <w:rPr>
          <w:rFonts w:ascii="Times New Roman" w:hAnsi="Times New Roman" w:eastAsia="宋体" w:cs="Times New Roman"/>
          <w:color w:val="auto"/>
        </w:rPr>
        <w:t>在蛋鸡和肉蛋兼用型鸡中开展了生物富集法生产富 ω-3 PUFA 鸡蛋工艺研究和技术集成。该生产工艺和饲料配方具有针对性强、方法易操作和易推广等优点，并已在我省高安市、余干县、南城县、信丰县等多个县区 30 多个鸡场推广应用，2014-2016 年项目累计新增产值 10103 万元，新增纯收入7235 万元。经济、生态和社会效益十分显著。</w:t>
      </w:r>
      <w:r>
        <w:rPr>
          <w:rFonts w:hint="eastAsia" w:ascii="Times New Roman" w:hAnsi="Times New Roman" w:eastAsia="宋体" w:cs="Times New Roman"/>
          <w:color w:val="auto"/>
        </w:rPr>
        <w:t>沈勇根教授与江西伟良食品（余干辣椒）有限公司、万年县美欣农林科技开发有限公司等多家企业进行对接，成效显著。</w:t>
      </w:r>
      <w:r>
        <w:rPr>
          <w:rFonts w:ascii="Times New Roman" w:hAnsi="Times New Roman" w:eastAsia="宋体" w:cs="Times New Roman"/>
          <w:color w:val="auto"/>
        </w:rPr>
        <w:t>肖建辉</w:t>
      </w:r>
      <w:r>
        <w:rPr>
          <w:rFonts w:hint="eastAsia" w:ascii="Times New Roman" w:hAnsi="Times New Roman" w:eastAsia="宋体" w:cs="Times New Roman"/>
          <w:color w:val="auto"/>
        </w:rPr>
        <w:t>副</w:t>
      </w:r>
      <w:r>
        <w:rPr>
          <w:rFonts w:ascii="Times New Roman" w:hAnsi="Times New Roman" w:eastAsia="宋体" w:cs="Times New Roman"/>
          <w:color w:val="auto"/>
        </w:rPr>
        <w:t>教授积极开展科技特派活动，与多家企业进行对接，深入企业推广薯类作物加工新技术，指导生产，帮助企业增益600余万元</w:t>
      </w:r>
      <w:r>
        <w:rPr>
          <w:rFonts w:hint="eastAsia" w:ascii="Times New Roman" w:hAnsi="Times New Roman" w:eastAsia="宋体" w:cs="Times New Roman"/>
          <w:color w:val="auto"/>
        </w:rPr>
        <w:t>，</w:t>
      </w:r>
      <w:r>
        <w:rPr>
          <w:rFonts w:ascii="Times New Roman" w:hAnsi="Times New Roman" w:eastAsia="宋体" w:cs="Times New Roman"/>
          <w:color w:val="auto"/>
        </w:rPr>
        <w:t>被评为“优秀科技特派员”。</w:t>
      </w:r>
      <w:r>
        <w:rPr>
          <w:rFonts w:hint="eastAsia" w:ascii="Times New Roman" w:hAnsi="Times New Roman" w:eastAsia="宋体" w:cs="Times New Roman"/>
          <w:color w:val="auto"/>
        </w:rPr>
        <w:t>张清峰副教授</w:t>
      </w:r>
      <w:r>
        <w:rPr>
          <w:rFonts w:ascii="Times New Roman" w:hAnsi="Times New Roman" w:eastAsia="宋体" w:cs="Times New Roman"/>
          <w:color w:val="auto"/>
        </w:rPr>
        <w:t>开发的显齿蛇葡萄叶固体饮料在江西东南野生植物开发有限公司、江西维莱营健高科有限公司、福建绿意农林发展有限公司投产。</w:t>
      </w:r>
      <w:r>
        <w:rPr>
          <w:rFonts w:hint="eastAsia" w:ascii="Times New Roman" w:hAnsi="Times New Roman" w:eastAsia="宋体" w:cs="Times New Roman"/>
          <w:color w:val="auto"/>
        </w:rPr>
        <w:t>2022年，肖建辉教授领衔的</w:t>
      </w:r>
      <w:r>
        <w:rPr>
          <w:rFonts w:ascii="Times New Roman" w:hAnsi="Times New Roman" w:eastAsia="宋体" w:cs="Times New Roman"/>
          <w:color w:val="auto"/>
          <w:szCs w:val="32"/>
        </w:rPr>
        <w:t>红芽芋产品研发的实践让小院研究生对学以致用有了切身体会。自小院挂牌以来，小院研究生创新出红芽芋全粉、红芽芋粉丝、芋酥饼、芋酸奶等产品近10个，新建红芽芋加工生产线2条，增加红芽芋附加值超过5亿元。</w:t>
      </w:r>
    </w:p>
    <w:p w14:paraId="1B70C61E">
      <w:pPr>
        <w:pStyle w:val="2"/>
        <w:spacing w:line="560" w:lineRule="exact"/>
        <w:ind w:firstLine="562"/>
        <w:rPr>
          <w:rFonts w:ascii="Times New Roman" w:hAnsi="Times New Roman" w:eastAsia="宋体" w:cs="Times New Roman"/>
          <w:b/>
          <w:bCs/>
        </w:rPr>
      </w:pPr>
      <w:r>
        <w:rPr>
          <w:rFonts w:ascii="Times New Roman" w:hAnsi="Times New Roman" w:eastAsia="宋体" w:cs="Times New Roman"/>
          <w:b/>
          <w:bCs/>
        </w:rPr>
        <w:t>2.经济发展</w:t>
      </w:r>
    </w:p>
    <w:p w14:paraId="204357E3">
      <w:pPr>
        <w:ind w:firstLine="560" w:firstLineChars="200"/>
        <w:rPr>
          <w:rFonts w:cs="Times New Roman"/>
          <w:color w:val="0000FF"/>
          <w:szCs w:val="28"/>
        </w:rPr>
      </w:pPr>
      <w:r>
        <w:rPr>
          <w:rFonts w:cs="Times New Roman"/>
          <w:color w:val="0000FF"/>
          <w:szCs w:val="28"/>
        </w:rPr>
        <w:t>本学位点本年度在服务国家和地区经济发展方面的情况，与企业产学研合作项目数，合作成果在企业产生的经济效益，参与政策法规、行业标准与规划制定，开展行业人才培训等等。</w:t>
      </w:r>
    </w:p>
    <w:p w14:paraId="5670DCF7">
      <w:pPr>
        <w:pStyle w:val="14"/>
        <w:adjustRightInd w:val="0"/>
        <w:snapToGrid w:val="0"/>
        <w:ind w:firstLine="560"/>
        <w:rPr>
          <w:rFonts w:cs="Times New Roman"/>
          <w:b/>
          <w:bCs/>
          <w:color w:val="000000"/>
          <w:szCs w:val="28"/>
        </w:rPr>
      </w:pPr>
      <w:r>
        <w:rPr>
          <w:rFonts w:cs="Times New Roman"/>
          <w:color w:val="000000"/>
          <w:szCs w:val="28"/>
        </w:rPr>
        <w:t>学位点</w:t>
      </w:r>
      <w:r>
        <w:rPr>
          <w:rFonts w:hint="eastAsia" w:cs="Times New Roman"/>
          <w:color w:val="000000"/>
          <w:szCs w:val="28"/>
        </w:rPr>
        <w:t>有10余名教师为省</w:t>
      </w:r>
      <w:r>
        <w:rPr>
          <w:rFonts w:cs="Times New Roman"/>
          <w:color w:val="000000"/>
          <w:szCs w:val="28"/>
        </w:rPr>
        <w:t>科技特派团</w:t>
      </w:r>
      <w:r>
        <w:rPr>
          <w:rFonts w:hint="eastAsia" w:cs="Times New Roman"/>
          <w:color w:val="000000"/>
          <w:szCs w:val="28"/>
        </w:rPr>
        <w:t>成员，</w:t>
      </w:r>
      <w:r>
        <w:rPr>
          <w:rFonts w:cs="Times New Roman"/>
          <w:color w:val="000000"/>
          <w:szCs w:val="28"/>
        </w:rPr>
        <w:t>本年度均下到企业和对接单位</w:t>
      </w:r>
      <w:r>
        <w:rPr>
          <w:rFonts w:hint="eastAsia" w:cs="Times New Roman"/>
          <w:color w:val="000000"/>
          <w:szCs w:val="28"/>
        </w:rPr>
        <w:t>3-4</w:t>
      </w:r>
      <w:r>
        <w:rPr>
          <w:rFonts w:cs="Times New Roman"/>
          <w:color w:val="000000"/>
          <w:szCs w:val="28"/>
        </w:rPr>
        <w:t>次，</w:t>
      </w:r>
      <w:r>
        <w:rPr>
          <w:rFonts w:hint="eastAsia" w:cs="Times New Roman"/>
          <w:color w:val="000000"/>
          <w:szCs w:val="28"/>
        </w:rPr>
        <w:t>为企业提供专业咨询服务，</w:t>
      </w:r>
      <w:r>
        <w:rPr>
          <w:rFonts w:cs="Times New Roman"/>
          <w:color w:val="000000"/>
          <w:szCs w:val="28"/>
        </w:rPr>
        <w:t xml:space="preserve">为地方培训技术人员 </w:t>
      </w:r>
      <w:r>
        <w:rPr>
          <w:rFonts w:hint="eastAsia" w:cs="Times New Roman"/>
          <w:color w:val="000000"/>
          <w:szCs w:val="28"/>
        </w:rPr>
        <w:t>1</w:t>
      </w:r>
      <w:r>
        <w:rPr>
          <w:rFonts w:cs="Times New Roman"/>
          <w:color w:val="000000"/>
          <w:szCs w:val="28"/>
        </w:rPr>
        <w:t>00 多人次</w:t>
      </w:r>
      <w:r>
        <w:rPr>
          <w:rFonts w:hint="eastAsia" w:cs="Times New Roman"/>
          <w:color w:val="000000"/>
          <w:szCs w:val="28"/>
        </w:rPr>
        <w:t>，</w:t>
      </w:r>
      <w:r>
        <w:rPr>
          <w:rFonts w:cs="Times New Roman"/>
          <w:color w:val="000000"/>
          <w:szCs w:val="28"/>
        </w:rPr>
        <w:t>为地方经济建设贡献自己的力量。</w:t>
      </w:r>
      <w:r>
        <w:rPr>
          <w:rFonts w:hint="eastAsia" w:cs="Times New Roman"/>
          <w:color w:val="000000"/>
          <w:szCs w:val="28"/>
        </w:rPr>
        <w:t>多名教师为</w:t>
      </w:r>
      <w:r>
        <w:rPr>
          <w:rFonts w:cs="Times New Roman"/>
          <w:color w:val="000000"/>
          <w:szCs w:val="28"/>
        </w:rPr>
        <w:t>江西省食品安全委会和江西省标准评审委员成员，本年度参与</w:t>
      </w:r>
      <w:r>
        <w:rPr>
          <w:rFonts w:hint="eastAsia" w:cs="Times New Roman"/>
          <w:color w:val="000000"/>
          <w:szCs w:val="28"/>
        </w:rPr>
        <w:t>10</w:t>
      </w:r>
      <w:r>
        <w:rPr>
          <w:rFonts w:cs="Times New Roman"/>
          <w:color w:val="000000"/>
          <w:szCs w:val="28"/>
        </w:rPr>
        <w:t>多份食品企业标准和行业标准的审定和标准起草咨询；多次参与江西省科技厅、农业厅和市场监督管理局发展规划讨论，参与地方突发性食品安全事件处理与预警活动。在当地积极开展食品安全和食品营养知识普及、中国传统饮食文化宣传等主题教育与科研创新活动。</w:t>
      </w:r>
    </w:p>
    <w:p w14:paraId="74A8451E">
      <w:pPr>
        <w:ind w:firstLine="562" w:firstLineChars="200"/>
        <w:rPr>
          <w:rFonts w:cs="Times New Roman"/>
          <w:b/>
          <w:bCs/>
        </w:rPr>
      </w:pPr>
      <w:r>
        <w:rPr>
          <w:rFonts w:cs="Times New Roman"/>
          <w:b/>
          <w:bCs/>
        </w:rPr>
        <w:t>3.文化建设</w:t>
      </w:r>
    </w:p>
    <w:p w14:paraId="546C22DA">
      <w:pPr>
        <w:pStyle w:val="14"/>
        <w:adjustRightInd w:val="0"/>
        <w:snapToGrid w:val="0"/>
        <w:ind w:firstLine="560"/>
        <w:rPr>
          <w:rFonts w:cs="Times New Roman"/>
          <w:color w:val="0000FF"/>
          <w:szCs w:val="28"/>
        </w:rPr>
      </w:pPr>
      <w:r>
        <w:rPr>
          <w:rFonts w:cs="Times New Roman"/>
          <w:color w:val="0000FF"/>
          <w:szCs w:val="28"/>
        </w:rPr>
        <w:t>本学位点在繁荣和发展社会主义文化方面的情况，推进文化传播、弘扬优秀传统文化、发展先进文化方面的情况，创办学术期刊或学术组织情况，开展科学普及、行业人才培训、全民终身学习等社会公共与公益服务情况等等。</w:t>
      </w:r>
    </w:p>
    <w:p w14:paraId="30896600">
      <w:pPr>
        <w:pStyle w:val="14"/>
        <w:adjustRightInd w:val="0"/>
        <w:snapToGrid w:val="0"/>
        <w:ind w:firstLine="560"/>
        <w:rPr>
          <w:rFonts w:cs="Times New Roman"/>
          <w:color w:val="FF0000"/>
          <w:szCs w:val="28"/>
        </w:rPr>
      </w:pPr>
      <w:r>
        <w:rPr>
          <w:rFonts w:cs="Times New Roman"/>
          <w:color w:val="000000"/>
          <w:szCs w:val="28"/>
        </w:rPr>
        <w:t>本学位点积极推进繁荣和发展社会主义文化、弘扬优秀传统文化</w:t>
      </w:r>
      <w:r>
        <w:rPr>
          <w:rFonts w:hint="eastAsia" w:cs="Times New Roman"/>
          <w:color w:val="000000"/>
          <w:szCs w:val="28"/>
        </w:rPr>
        <w:t>；</w:t>
      </w:r>
      <w:r>
        <w:rPr>
          <w:rFonts w:cs="Times New Roman"/>
          <w:color w:val="000000"/>
          <w:szCs w:val="28"/>
        </w:rPr>
        <w:t>积极参与行业学术交流活动</w:t>
      </w:r>
      <w:r>
        <w:rPr>
          <w:rFonts w:hint="eastAsia" w:cs="Times New Roman"/>
          <w:color w:val="000000"/>
          <w:szCs w:val="28"/>
        </w:rPr>
        <w:t>。</w:t>
      </w:r>
      <w:r>
        <w:rPr>
          <w:rFonts w:cs="Times New Roman"/>
          <w:color w:val="000000"/>
          <w:szCs w:val="28"/>
        </w:rPr>
        <w:t>学科成员现受聘国家一级学会常务理事/理事 3 人次，国家一级学会分会副理事长 1 人、常务理事/理事 15 人次，省一级学会副理事长 2 人、常务理事/理事20人次，其它国家及省部级学术团体任职 6 人次，积极参与行业学术交流活动。</w:t>
      </w:r>
    </w:p>
    <w:p w14:paraId="57A36E19">
      <w:pPr>
        <w:numPr>
          <w:ilvl w:val="0"/>
          <w:numId w:val="2"/>
        </w:numPr>
        <w:ind w:firstLine="562" w:firstLineChars="200"/>
        <w:rPr>
          <w:rFonts w:cs="Times New Roman"/>
          <w:b/>
          <w:bCs/>
        </w:rPr>
      </w:pPr>
      <w:r>
        <w:rPr>
          <w:rFonts w:cs="Times New Roman"/>
          <w:b/>
          <w:bCs/>
        </w:rPr>
        <w:t>服务社会典型案例（1-2个,各500字左右）</w:t>
      </w:r>
    </w:p>
    <w:p w14:paraId="2DDB68BF">
      <w:pPr>
        <w:ind w:firstLine="560" w:firstLineChars="200"/>
        <w:rPr>
          <w:rFonts w:hint="eastAsia" w:cs="Times New Roman"/>
          <w:color w:val="auto"/>
        </w:rPr>
      </w:pPr>
      <w:r>
        <w:rPr>
          <w:rFonts w:cs="Times New Roman"/>
          <w:color w:val="auto"/>
        </w:rPr>
        <w:t>案例一：</w:t>
      </w:r>
      <w:r>
        <w:rPr>
          <w:rFonts w:hint="eastAsia" w:cs="Times New Roman"/>
          <w:color w:val="auto"/>
        </w:rPr>
        <w:t>从2020年开始，江西省薯类技术产业体系贮藏与加工岗岗位专家、江西农业大学食品院教授、硕士生导师肖建辉就首次带领两名江农食品院研究生来到铅山县红芽芋科技小院（后简称小院），每年100多天扎根农业示范园，与农民同吃同住，零距离接触农民和农业生产，促进更好地理解红芽芋特性及配套的加工模式，增加红芽芋附加值，当年成功研发出红芽芋浆饮品、红芽芋冰皮月饼、红芽芋米粉等创新产品。</w:t>
      </w:r>
    </w:p>
    <w:p w14:paraId="5F89DC88">
      <w:pPr>
        <w:spacing w:line="560" w:lineRule="exact"/>
        <w:ind w:firstLine="560" w:firstLineChars="200"/>
        <w:rPr>
          <w:rFonts w:cs="Times New Roman"/>
          <w:color w:val="auto"/>
        </w:rPr>
      </w:pPr>
      <w:r>
        <w:rPr>
          <w:rFonts w:hint="eastAsia" w:cs="Times New Roman"/>
          <w:color w:val="auto"/>
        </w:rPr>
        <w:t xml:space="preserve">2022年8月，铅山红芽芋迎来了丰收季，农田一片繁忙，小院研究生也忙的应接不暇地进行新品研发。第二批入驻小院的食品院研究生增加到了三人，分别负责红芽芋发酵饮品、红芽芋泥面包及红芽芋果酱的研发，并对之前小院成员的研发产品进行迭代升级。同时小院研究生还对创新辅料、配方的运用进行指导，“实验室的理论研究再透彻，生产中用不到，对红芽芋精深加工产业也没多大用处，我们应该让科研落到实处，具有实用性。”红芽芋产品研发的实践让小院研究生对学以致用有了切身体会。自小院挂牌以来，小院研究生创新出红芽芋全粉、红芽芋粉丝、芋酥饼、芋酸奶等产品近10个，新建红芽芋加工生产线2条，增加红芽芋附加值超过5亿元。 </w:t>
      </w:r>
    </w:p>
    <w:p w14:paraId="20EB79B2">
      <w:pPr>
        <w:ind w:firstLine="643" w:firstLineChars="200"/>
        <w:rPr>
          <w:rFonts w:cs="Times New Roman"/>
        </w:rPr>
      </w:pPr>
      <w:r>
        <w:rPr>
          <w:rFonts w:cs="Times New Roman"/>
          <w:b/>
          <w:bCs/>
          <w:sz w:val="32"/>
          <w:szCs w:val="24"/>
        </w:rPr>
        <w:t>二、学位授权点建设存在的问题</w:t>
      </w:r>
    </w:p>
    <w:p w14:paraId="3EAA0D33">
      <w:pPr>
        <w:ind w:firstLine="560" w:firstLineChars="200"/>
        <w:rPr>
          <w:rFonts w:cs="Times New Roman"/>
          <w:color w:val="0000FF"/>
          <w:szCs w:val="28"/>
        </w:rPr>
      </w:pPr>
      <w:r>
        <w:rPr>
          <w:rFonts w:cs="Times New Roman"/>
          <w:color w:val="0000FF"/>
          <w:szCs w:val="28"/>
        </w:rPr>
        <w:t>本学位点本年度研究生教育过程中存在的问题及原因分析。</w:t>
      </w:r>
    </w:p>
    <w:p w14:paraId="29F38331">
      <w:pPr>
        <w:pStyle w:val="12"/>
        <w:ind w:left="0" w:leftChars="0" w:firstLine="560" w:firstLineChars="200"/>
      </w:pPr>
      <w:r>
        <w:rPr>
          <w:rFonts w:cs="Times New Roman"/>
          <w:color w:val="000000"/>
          <w:szCs w:val="28"/>
        </w:rPr>
        <w:t>学位点研究生教育存在的问题</w:t>
      </w:r>
      <w:r>
        <w:t>主要表现在：一是高水平的科研成果缺乏，学科还没有突破国家级科研奖励；二是还没有形成具有承担国家级重大项目的团队；三是人才总量还有待加强</w:t>
      </w:r>
      <w:r>
        <w:rPr>
          <w:rFonts w:hint="eastAsia"/>
        </w:rPr>
        <w:t>；四</w:t>
      </w:r>
      <w:r>
        <w:t>是</w:t>
      </w:r>
      <w:r>
        <w:rPr>
          <w:rFonts w:hint="eastAsia"/>
        </w:rPr>
        <w:t>研究生招生数量较少，生源质量不佳；五是目前学位点尚未获批博士学位授权一级学科点，学科发展速度较慢。</w:t>
      </w:r>
    </w:p>
    <w:p w14:paraId="3A32425B">
      <w:pPr>
        <w:ind w:firstLine="710"/>
        <w:rPr>
          <w:rFonts w:cs="Times New Roman"/>
          <w:b/>
          <w:bCs/>
          <w:sz w:val="32"/>
          <w:szCs w:val="24"/>
        </w:rPr>
      </w:pPr>
      <w:r>
        <w:rPr>
          <w:rFonts w:cs="Times New Roman"/>
          <w:b/>
          <w:bCs/>
          <w:sz w:val="32"/>
          <w:szCs w:val="24"/>
        </w:rPr>
        <w:t>三、下一步建设计划</w:t>
      </w:r>
    </w:p>
    <w:p w14:paraId="1012F2AC">
      <w:pPr>
        <w:ind w:firstLine="560" w:firstLineChars="200"/>
        <w:rPr>
          <w:rFonts w:cs="Times New Roman"/>
          <w:color w:val="0000FF"/>
          <w:szCs w:val="28"/>
        </w:rPr>
      </w:pPr>
      <w:r>
        <w:rPr>
          <w:rFonts w:cs="Times New Roman"/>
          <w:color w:val="0000FF"/>
          <w:szCs w:val="28"/>
        </w:rPr>
        <w:t>针对问题提出改进建议和下一步思路举措，包括发展目标和保障措施。</w:t>
      </w:r>
    </w:p>
    <w:p w14:paraId="3977761A">
      <w:pPr>
        <w:ind w:firstLine="619"/>
        <w:jc w:val="left"/>
        <w:rPr>
          <w:color w:val="auto"/>
        </w:rPr>
      </w:pPr>
      <w:r>
        <w:rPr>
          <w:rFonts w:hint="eastAsia" w:ascii="仿宋_GB2312" w:eastAsia="仿宋_GB2312" w:cs="仿宋_GB2312"/>
          <w:b/>
          <w:bCs/>
          <w:color w:val="auto"/>
          <w:kern w:val="0"/>
          <w:szCs w:val="28"/>
          <w:shd w:val="clear" w:color="auto" w:fill="FFFFFF"/>
          <w:lang w:bidi="ar"/>
        </w:rPr>
        <w:t>人才培养</w:t>
      </w:r>
      <w:r>
        <w:rPr>
          <w:rFonts w:hint="eastAsia" w:ascii="仿宋_GB2312" w:eastAsia="仿宋_GB2312" w:cs="仿宋_GB2312"/>
          <w:color w:val="auto"/>
          <w:kern w:val="0"/>
          <w:szCs w:val="28"/>
          <w:shd w:val="clear" w:color="auto" w:fill="FFFFFF"/>
          <w:lang w:bidi="ar"/>
        </w:rPr>
        <w:t>：</w:t>
      </w:r>
      <w:r>
        <w:rPr>
          <w:rFonts w:hint="eastAsia" w:ascii="Times New Roman" w:eastAsia="宋体" w:cs="Times New Roman"/>
          <w:color w:val="auto"/>
          <w:kern w:val="2"/>
          <w:szCs w:val="22"/>
          <w:shd w:val="clear" w:color="auto" w:fill="auto"/>
          <w:lang w:bidi="ar-SA"/>
        </w:rPr>
        <w:t>人才培养是大学的根本任务。学位点致力于培养适合现代科技发展和社会主义现代化建设需要的食品学科高级专门人才，将通过改善和优化实验室条件，进一步夯实人才培养平台；制定教学质量控制文件，构建教学质量保障体系，不断提高人才培养水平。</w:t>
      </w:r>
    </w:p>
    <w:p w14:paraId="4F339B89">
      <w:pPr>
        <w:ind w:firstLine="619"/>
        <w:jc w:val="left"/>
        <w:rPr>
          <w:rFonts w:ascii="仿宋_GB2312" w:eastAsia="仿宋_GB2312" w:cs="仿宋_GB2312"/>
          <w:color w:val="auto"/>
          <w:kern w:val="0"/>
          <w:szCs w:val="28"/>
          <w:shd w:val="clear" w:color="auto" w:fill="FFFFFF"/>
          <w:lang w:bidi="ar"/>
        </w:rPr>
      </w:pPr>
      <w:r>
        <w:rPr>
          <w:rFonts w:hint="eastAsia" w:ascii="仿宋_GB2312" w:eastAsia="仿宋_GB2312" w:cs="仿宋_GB2312"/>
          <w:b/>
          <w:bCs/>
          <w:color w:val="auto"/>
          <w:kern w:val="0"/>
          <w:szCs w:val="28"/>
          <w:shd w:val="clear" w:color="auto" w:fill="FFFFFF"/>
          <w:lang w:bidi="ar"/>
        </w:rPr>
        <w:t>师资队伍建设：</w:t>
      </w:r>
      <w:r>
        <w:rPr>
          <w:rFonts w:hint="eastAsia" w:ascii="Times New Roman" w:eastAsia="宋体" w:cs="Times New Roman"/>
          <w:color w:val="auto"/>
          <w:kern w:val="2"/>
          <w:szCs w:val="22"/>
          <w:shd w:val="clear" w:color="auto" w:fill="auto"/>
          <w:lang w:bidi="ar-SA"/>
        </w:rPr>
        <w:t>雄厚的师资力量是学科发展的根本保障。师资队伍建设将践行“外引内培”模式。积极主动到国内一流大学进行引才工作，利用各种学术交流会、协会活动等机会积极开展宣讲和引才活动，引进一流人才。</w:t>
      </w:r>
      <w:r>
        <w:rPr>
          <w:rFonts w:ascii="Times New Roman" w:eastAsia="宋体" w:cs="Times New Roman"/>
          <w:color w:val="auto"/>
          <w:kern w:val="2"/>
          <w:szCs w:val="22"/>
          <w:shd w:val="clear" w:color="auto" w:fill="auto"/>
          <w:lang w:bidi="ar-SA"/>
        </w:rPr>
        <w:t>重视青年教师培养，</w:t>
      </w:r>
      <w:r>
        <w:rPr>
          <w:rFonts w:hint="eastAsia" w:ascii="Times New Roman" w:eastAsia="宋体" w:cs="Times New Roman"/>
          <w:color w:val="auto"/>
          <w:kern w:val="2"/>
          <w:szCs w:val="22"/>
          <w:shd w:val="clear" w:color="auto" w:fill="auto"/>
          <w:lang w:bidi="ar-SA"/>
        </w:rPr>
        <w:t>主动关心，</w:t>
      </w:r>
      <w:r>
        <w:rPr>
          <w:rFonts w:ascii="Times New Roman" w:eastAsia="宋体" w:cs="Times New Roman"/>
          <w:color w:val="auto"/>
          <w:kern w:val="2"/>
          <w:szCs w:val="22"/>
          <w:shd w:val="clear" w:color="auto" w:fill="auto"/>
          <w:lang w:bidi="ar-SA"/>
        </w:rPr>
        <w:t>鼓励出国进修访学</w:t>
      </w:r>
      <w:r>
        <w:rPr>
          <w:rFonts w:hint="eastAsia" w:ascii="Times New Roman" w:eastAsia="宋体" w:cs="Times New Roman"/>
          <w:color w:val="auto"/>
          <w:kern w:val="2"/>
          <w:szCs w:val="22"/>
          <w:shd w:val="clear" w:color="auto" w:fill="auto"/>
          <w:lang w:bidi="ar-SA"/>
        </w:rPr>
        <w:t>；同时积极改善学院办工、实验条件；完善青年人才培养机制，让人才“引得进，留得住，发展好”。</w:t>
      </w:r>
    </w:p>
    <w:p w14:paraId="339EB53A">
      <w:pPr>
        <w:ind w:firstLine="619"/>
        <w:jc w:val="left"/>
        <w:rPr>
          <w:rFonts w:ascii="Times New Roman" w:eastAsia="宋体" w:cs="Times New Roman"/>
          <w:color w:val="auto"/>
          <w:kern w:val="2"/>
          <w:szCs w:val="22"/>
          <w:shd w:val="clear" w:color="auto" w:fill="auto"/>
          <w:lang w:bidi="ar-SA"/>
        </w:rPr>
      </w:pPr>
      <w:r>
        <w:rPr>
          <w:rFonts w:hint="eastAsia" w:ascii="仿宋_GB2312" w:eastAsia="仿宋_GB2312" w:cs="仿宋_GB2312"/>
          <w:b/>
          <w:bCs/>
          <w:color w:val="auto"/>
          <w:kern w:val="0"/>
          <w:szCs w:val="28"/>
          <w:shd w:val="clear" w:color="auto" w:fill="FFFFFF"/>
          <w:lang w:bidi="ar"/>
        </w:rPr>
        <w:t>科学研究</w:t>
      </w:r>
      <w:r>
        <w:rPr>
          <w:rFonts w:hint="eastAsia" w:ascii="仿宋_GB2312" w:eastAsia="仿宋_GB2312" w:cs="仿宋_GB2312"/>
          <w:color w:val="auto"/>
          <w:kern w:val="0"/>
          <w:szCs w:val="28"/>
          <w:shd w:val="clear" w:color="auto" w:fill="FFFFFF"/>
          <w:lang w:bidi="ar"/>
        </w:rPr>
        <w:t>：</w:t>
      </w:r>
      <w:r>
        <w:rPr>
          <w:rFonts w:hint="eastAsia" w:ascii="Times New Roman" w:eastAsia="宋体" w:cs="Times New Roman"/>
          <w:color w:val="auto"/>
          <w:kern w:val="2"/>
          <w:szCs w:val="22"/>
          <w:shd w:val="clear" w:color="auto" w:fill="auto"/>
          <w:lang w:bidi="ar-SA"/>
        </w:rPr>
        <w:t>整合实验室资源，利用好实验室形成课题组，为每位老师分配实验场所；加快实验室硬件条件建设，保证研究设施设备的投入资金；进一步凝炼目标，聚焦重点领域方向，形成研究特色；建立院级实验平台，建设高水平、专业化实验技术支持队伍。加强产学研结合，加快新成果的应用开发、成果转移和产业化，提升社会服务功能。</w:t>
      </w:r>
    </w:p>
    <w:p w14:paraId="714ED599">
      <w:pPr>
        <w:ind w:firstLine="619"/>
        <w:jc w:val="left"/>
        <w:rPr>
          <w:rFonts w:ascii="仿宋_GB2312" w:eastAsia="仿宋_GB2312" w:cs="仿宋_GB2312"/>
          <w:color w:val="auto"/>
          <w:kern w:val="0"/>
          <w:szCs w:val="28"/>
          <w:shd w:val="clear" w:color="auto" w:fill="FFFFFF"/>
          <w:lang w:bidi="ar"/>
        </w:rPr>
      </w:pPr>
      <w:r>
        <w:rPr>
          <w:rFonts w:hint="eastAsia" w:ascii="仿宋_GB2312" w:eastAsia="仿宋_GB2312" w:cs="仿宋_GB2312"/>
          <w:b/>
          <w:bCs/>
          <w:color w:val="auto"/>
          <w:kern w:val="0"/>
          <w:szCs w:val="28"/>
          <w:shd w:val="clear" w:color="auto" w:fill="FFFFFF"/>
          <w:lang w:bidi="ar"/>
        </w:rPr>
        <w:t>经费筹措：</w:t>
      </w:r>
      <w:r>
        <w:rPr>
          <w:rFonts w:hint="eastAsia" w:ascii="Times New Roman" w:eastAsia="宋体" w:cs="Times New Roman"/>
          <w:color w:val="auto"/>
          <w:kern w:val="2"/>
          <w:szCs w:val="22"/>
          <w:shd w:val="clear" w:color="auto" w:fill="auto"/>
          <w:lang w:bidi="ar-SA"/>
        </w:rPr>
        <w:t>建立多元经费筹措渠道和机制，除正常办学经费外，积极争取学校、南昌市和江西省政府、以及国家相关部委的资金支持，如申请工程认证、博士点建设、国家及省一流学科、专业建设经费等。此外，加强产学研结合，争取企业经费支持。</w:t>
      </w:r>
    </w:p>
    <w:p w14:paraId="735137F6">
      <w:pPr>
        <w:pStyle w:val="12"/>
        <w:ind w:left="0" w:leftChars="0" w:firstLine="0" w:firstLineChars="0"/>
      </w:pPr>
      <w:r>
        <w:rPr>
          <w:rFonts w:hint="eastAsia"/>
        </w:rPr>
        <w:t xml:space="preserve">    </w:t>
      </w:r>
      <w:r>
        <w:rPr>
          <w:rFonts w:hint="eastAsia"/>
          <w:b/>
          <w:bCs/>
        </w:rPr>
        <w:t>积极申报博士学位授权一级学科点</w:t>
      </w:r>
      <w:r>
        <w:rPr>
          <w:rFonts w:hint="eastAsia"/>
        </w:rPr>
        <w:t>：通过提高研究生培养质量、加强师资队伍建设、提升科学研究水平，不断提升本学位点内在条件；此外，积极寻求学校和省主管部门在博士点申报方面的支持。</w:t>
      </w:r>
    </w:p>
    <w:p w14:paraId="57C3DD51">
      <w:pPr>
        <w:pStyle w:val="12"/>
        <w:ind w:left="560" w:firstLine="619"/>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18"/>
      </w:pPr>
      <w:r>
        <w:separator/>
      </w:r>
    </w:p>
  </w:endnote>
  <w:endnote w:type="continuationSeparator" w:id="1">
    <w:p>
      <w:pPr>
        <w:spacing w:line="240" w:lineRule="auto"/>
        <w:ind w:firstLine="61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67D6799-1A6F-4C18-B653-A935980018E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宋体"/>
    <w:panose1 w:val="00000000000000000000"/>
    <w:charset w:val="86"/>
    <w:family w:val="auto"/>
    <w:pitch w:val="default"/>
    <w:sig w:usb0="00000000" w:usb1="00000000" w:usb2="00000010" w:usb3="00000000" w:csb0="000401FF" w:csb1="00000000"/>
    <w:embedRegular r:id="rId2" w:fontKey="{2171DF47-72B1-4E3A-B04D-EEB36190176E}"/>
  </w:font>
  <w:font w:name="仿宋">
    <w:panose1 w:val="02010609060101010101"/>
    <w:charset w:val="86"/>
    <w:family w:val="modern"/>
    <w:pitch w:val="default"/>
    <w:sig w:usb0="800002BF" w:usb1="38CF7CFA" w:usb2="00000016" w:usb3="00000000" w:csb0="00040001" w:csb1="00000000"/>
    <w:embedRegular r:id="rId3" w:fontKey="{557B065A-6DA8-42BF-A766-06ED891F9B4B}"/>
  </w:font>
  <w:font w:name="仿宋_GB2312">
    <w:panose1 w:val="02010609030101010101"/>
    <w:charset w:val="86"/>
    <w:family w:val="modern"/>
    <w:pitch w:val="default"/>
    <w:sig w:usb0="00000001" w:usb1="080E0000" w:usb2="00000000" w:usb3="00000000" w:csb0="00040000" w:csb1="00000000"/>
    <w:embedRegular r:id="rId4" w:fontKey="{C18F196F-AA54-47B9-AA15-5C117E7BED98}"/>
  </w:font>
  <w:font w:name="微软雅黑">
    <w:panose1 w:val="020B0503020204020204"/>
    <w:charset w:val="86"/>
    <w:family w:val="swiss"/>
    <w:pitch w:val="default"/>
    <w:sig w:usb0="80000287" w:usb1="2ACF3C50" w:usb2="00000016" w:usb3="00000000" w:csb0="0004001F" w:csb1="00000000"/>
    <w:embedRegular r:id="rId5" w:fontKey="{BDF77F5B-AD96-4B30-BB57-7A5FAB2879B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73E93">
    <w:pPr>
      <w:pStyle w:val="4"/>
      <w:ind w:firstLine="619"/>
      <w:jc w:val="center"/>
      <w:textAlignment w:val="baseline"/>
      <w:rPr>
        <w:rStyle w:val="13"/>
        <w:rFonts w:ascii="Times New Roman" w:hAnsi="Times New Roman" w:eastAsia="宋体"/>
        <w:sz w:val="28"/>
        <w:szCs w:val="28"/>
      </w:rPr>
    </w:pPr>
  </w:p>
  <w:p w14:paraId="046C5420">
    <w:pPr>
      <w:pStyle w:val="4"/>
      <w:ind w:firstLine="619"/>
      <w:jc w:val="center"/>
      <w:textAlignment w:val="baseline"/>
      <w:rPr>
        <w:rStyle w:val="13"/>
        <w:rFonts w:ascii="Times New Roman" w:hAnsi="Times New Roman" w:eastAsia="宋体"/>
        <w:sz w:val="28"/>
        <w:szCs w:val="28"/>
      </w:rPr>
    </w:pPr>
    <w:r>
      <w:rPr>
        <w:rStyle w:val="13"/>
        <w:rFonts w:ascii="Times New Roman" w:hAnsi="Times New Roman" w:eastAsia="宋体"/>
        <w:sz w:val="28"/>
        <w:szCs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1982EAB">
                          <w:pPr>
                            <w:pStyle w:val="4"/>
                            <w:ind w:firstLine="619"/>
                            <w:jc w:val="center"/>
                            <w:textAlignment w:val="baseline"/>
                            <w:rPr>
                              <w:rStyle w:val="13"/>
                              <w:rFonts w:ascii="仿宋_GB2312" w:hAnsi="仿宋_GB2312" w:eastAsia="仿宋_GB2312"/>
                              <w:sz w:val="28"/>
                              <w:szCs w:val="28"/>
                            </w:rPr>
                          </w:pPr>
                        </w:p>
                        <w:p w14:paraId="672F3655">
                          <w:pPr>
                            <w:ind w:firstLine="707"/>
                            <w:textAlignment w:val="baseline"/>
                            <w:rPr>
                              <w:rStyle w:val="13"/>
                              <w:rFonts w:ascii="Times New Roman" w:hAnsi="Times New Roman" w:eastAsia="宋体"/>
                            </w:rPr>
                          </w:pPr>
                        </w:p>
                      </w:txbxContent>
                    </wps:txbx>
                    <wps:bodyPr lIns="0" tIns="0" rIns="0" bIns="0" anchor="t" anchorCtr="0" upright="1"/>
                  </wps:wsp>
                </a:graphicData>
              </a:graphic>
            </wp:anchor>
          </w:drawing>
        </mc:Choice>
        <mc:Fallback>
          <w:pict>
            <v:shape id="文本框 44" o:spid="_x0000_s1026" o:spt="202" type="#_x0000_t202" style="position:absolute;left:0pt;margin-top:0pt;height:144pt;width:144pt;mso-position-horizontal:center;mso-position-horizontal-relative:margin;z-index:251661312;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97uOX0gAAAAUBAAAPAAAAAAAAAAEAIAAAACIAAABkcnMvZG93&#10;bnJldi54bWxQSwECFAAUAAAACACHTuJA+OBYiM0BAACYAwAADgAAAAAAAAABACAAAAAhAQAAZHJz&#10;L2Uyb0RvYy54bWxQSwUGAAAAAAYABgBZAQAAYAUAAAAA&#10;">
              <v:fill on="f" focussize="0,0"/>
              <v:stroke on="f" weight="1.25pt"/>
              <v:imagedata o:title=""/>
              <o:lock v:ext="edit" aspectratio="f"/>
              <v:textbox inset="0mm,0mm,0mm,0mm">
                <w:txbxContent>
                  <w:p w14:paraId="41982EAB">
                    <w:pPr>
                      <w:pStyle w:val="4"/>
                      <w:ind w:firstLine="619"/>
                      <w:jc w:val="center"/>
                      <w:textAlignment w:val="baseline"/>
                      <w:rPr>
                        <w:rStyle w:val="13"/>
                        <w:rFonts w:ascii="仿宋_GB2312" w:hAnsi="仿宋_GB2312" w:eastAsia="仿宋_GB2312"/>
                        <w:sz w:val="28"/>
                        <w:szCs w:val="28"/>
                      </w:rPr>
                    </w:pPr>
                  </w:p>
                  <w:p w14:paraId="672F3655">
                    <w:pPr>
                      <w:ind w:firstLine="707"/>
                      <w:textAlignment w:val="baseline"/>
                      <w:rPr>
                        <w:rStyle w:val="13"/>
                        <w:rFonts w:ascii="Times New Roman" w:hAnsi="Times New Roman" w:eastAsia="宋体"/>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DD233">
    <w:pPr>
      <w:pStyle w:val="4"/>
      <w:ind w:firstLine="39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FA4CB">
    <w:pPr>
      <w:pStyle w:val="4"/>
      <w:ind w:firstLine="39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CC276">
    <w:pPr>
      <w:pStyle w:val="4"/>
      <w:ind w:firstLine="39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64741">
    <w:pPr>
      <w:pStyle w:val="4"/>
      <w:ind w:firstLine="39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93E84">
    <w:pPr>
      <w:pStyle w:val="4"/>
      <w:ind w:firstLine="39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18"/>
      </w:pPr>
      <w:r>
        <w:separator/>
      </w:r>
    </w:p>
  </w:footnote>
  <w:footnote w:type="continuationSeparator" w:id="1">
    <w:p>
      <w:pPr>
        <w:spacing w:line="240" w:lineRule="auto"/>
        <w:ind w:firstLine="618"/>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36813">
    <w:pPr>
      <w:pStyle w:val="5"/>
      <w:pBdr>
        <w:bottom w:val="none" w:color="auto" w:sz="0" w:space="1"/>
      </w:pBdr>
      <w:ind w:firstLine="39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3DDD5">
    <w:pPr>
      <w:pStyle w:val="5"/>
      <w:ind w:firstLine="39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A8FFA">
    <w:pPr>
      <w:pStyle w:val="5"/>
      <w:ind w:firstLine="39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7A392">
    <w:pPr>
      <w:ind w:left="464"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72681">
    <w:pPr>
      <w:pStyle w:val="5"/>
      <w:ind w:firstLine="39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BEAE9">
    <w:pPr>
      <w:pStyle w:val="5"/>
      <w:ind w:firstLine="39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33848"/>
    <w:multiLevelType w:val="singleLevel"/>
    <w:tmpl w:val="BFF33848"/>
    <w:lvl w:ilvl="0" w:tentative="0">
      <w:start w:val="4"/>
      <w:numFmt w:val="decimal"/>
      <w:suff w:val="space"/>
      <w:lvlText w:val="%1."/>
      <w:lvlJc w:val="left"/>
    </w:lvl>
  </w:abstractNum>
  <w:abstractNum w:abstractNumId="1">
    <w:nsid w:val="E74619FB"/>
    <w:multiLevelType w:val="singleLevel"/>
    <w:tmpl w:val="E74619F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zMDY2ZGEyM2UxNzYxZjUzY2EyODI0ZjBlNTYxOTEifQ=="/>
    <w:docVar w:name="KSO_WPS_MARK_KEY" w:val="0e8ae6c0-9ee9-4e75-8eb5-2e082599e715"/>
  </w:docVars>
  <w:rsids>
    <w:rsidRoot w:val="07B74D75"/>
    <w:rsid w:val="003728C7"/>
    <w:rsid w:val="003F481A"/>
    <w:rsid w:val="006E4A89"/>
    <w:rsid w:val="0071021D"/>
    <w:rsid w:val="00A678C1"/>
    <w:rsid w:val="058A542C"/>
    <w:rsid w:val="07B74D75"/>
    <w:rsid w:val="09792E7A"/>
    <w:rsid w:val="0B240425"/>
    <w:rsid w:val="0B3211BB"/>
    <w:rsid w:val="0E511575"/>
    <w:rsid w:val="0F0B1CB6"/>
    <w:rsid w:val="11881CA7"/>
    <w:rsid w:val="11CE44D7"/>
    <w:rsid w:val="14701689"/>
    <w:rsid w:val="148167CB"/>
    <w:rsid w:val="16D626D2"/>
    <w:rsid w:val="177F473C"/>
    <w:rsid w:val="1A7A6085"/>
    <w:rsid w:val="1C5A1A57"/>
    <w:rsid w:val="1D6E2D76"/>
    <w:rsid w:val="20C61AA5"/>
    <w:rsid w:val="26746322"/>
    <w:rsid w:val="271B651F"/>
    <w:rsid w:val="27D2017D"/>
    <w:rsid w:val="293B58E7"/>
    <w:rsid w:val="2A0D498F"/>
    <w:rsid w:val="2CFF0F37"/>
    <w:rsid w:val="2E5661D5"/>
    <w:rsid w:val="2E6042C8"/>
    <w:rsid w:val="399C2AEC"/>
    <w:rsid w:val="39C34BEF"/>
    <w:rsid w:val="3F877C43"/>
    <w:rsid w:val="403F1C49"/>
    <w:rsid w:val="4594005E"/>
    <w:rsid w:val="45AA4040"/>
    <w:rsid w:val="47E719E3"/>
    <w:rsid w:val="4A927B24"/>
    <w:rsid w:val="4ED80FF1"/>
    <w:rsid w:val="4EDE07E9"/>
    <w:rsid w:val="500C7CD3"/>
    <w:rsid w:val="5522677A"/>
    <w:rsid w:val="553D7E00"/>
    <w:rsid w:val="56CA11C9"/>
    <w:rsid w:val="57317261"/>
    <w:rsid w:val="578E1A66"/>
    <w:rsid w:val="57AB0DEC"/>
    <w:rsid w:val="57FD73D2"/>
    <w:rsid w:val="58003748"/>
    <w:rsid w:val="58B17A5D"/>
    <w:rsid w:val="58FD759E"/>
    <w:rsid w:val="596A4F3B"/>
    <w:rsid w:val="596B3E9E"/>
    <w:rsid w:val="5C8B61FB"/>
    <w:rsid w:val="5DCD0489"/>
    <w:rsid w:val="5F836957"/>
    <w:rsid w:val="62D1763C"/>
    <w:rsid w:val="62F345A6"/>
    <w:rsid w:val="63171608"/>
    <w:rsid w:val="64A303AE"/>
    <w:rsid w:val="6B7B2FD8"/>
    <w:rsid w:val="6C3B31C0"/>
    <w:rsid w:val="6D18386D"/>
    <w:rsid w:val="6D5E3B3F"/>
    <w:rsid w:val="72702178"/>
    <w:rsid w:val="73AC03AD"/>
    <w:rsid w:val="73B5518A"/>
    <w:rsid w:val="73EA126D"/>
    <w:rsid w:val="764D4987"/>
    <w:rsid w:val="76E81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ind w:firstLine="221" w:firstLineChars="221"/>
      <w:jc w:val="both"/>
    </w:pPr>
    <w:rPr>
      <w:rFonts w:ascii="Times New Roman" w:hAnsi="Times New Roman" w:eastAsia="宋体" w:cstheme="minorBidi"/>
      <w:kern w:val="2"/>
      <w:sz w:val="28"/>
      <w:szCs w:val="22"/>
      <w:lang w:val="en-US" w:eastAsia="zh-CN" w:bidi="ar-SA"/>
    </w:rPr>
  </w:style>
  <w:style w:type="paragraph" w:styleId="2">
    <w:name w:val="heading 3"/>
    <w:basedOn w:val="1"/>
    <w:next w:val="1"/>
    <w:qFormat/>
    <w:uiPriority w:val="9"/>
    <w:pPr>
      <w:spacing w:line="600" w:lineRule="exact"/>
      <w:ind w:firstLine="640" w:firstLineChars="200"/>
      <w:outlineLvl w:val="2"/>
    </w:pPr>
    <w:rPr>
      <w:rFonts w:ascii="黑体" w:hAnsi="黑体" w:eastAsia="黑体"/>
      <w:color w:val="000000"/>
      <w:szCs w:val="32"/>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6"/>
    <w:qFormat/>
    <w:uiPriority w:val="0"/>
    <w:pPr>
      <w:spacing w:line="240" w:lineRule="auto"/>
    </w:pPr>
    <w:rPr>
      <w:sz w:val="18"/>
      <w:szCs w:val="18"/>
    </w:rPr>
  </w:style>
  <w:style w:type="paragraph" w:styleId="4">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qFormat/>
    <w:uiPriority w:val="0"/>
  </w:style>
  <w:style w:type="character" w:styleId="11">
    <w:name w:val="Hyperlink"/>
    <w:basedOn w:val="9"/>
    <w:qFormat/>
    <w:uiPriority w:val="0"/>
    <w:rPr>
      <w:color w:val="0000FF"/>
      <w:u w:val="single"/>
    </w:rPr>
  </w:style>
  <w:style w:type="paragraph" w:customStyle="1" w:styleId="12">
    <w:name w:val="Body Text Indent1"/>
    <w:basedOn w:val="1"/>
    <w:qFormat/>
    <w:uiPriority w:val="99"/>
    <w:pPr>
      <w:ind w:left="420" w:leftChars="200"/>
    </w:pPr>
  </w:style>
  <w:style w:type="character" w:customStyle="1" w:styleId="13">
    <w:name w:val="NormalCharacter"/>
    <w:semiHidden/>
    <w:qFormat/>
    <w:uiPriority w:val="0"/>
    <w:rPr>
      <w:rFonts w:ascii="Calibri" w:hAnsi="Calibri" w:eastAsia="方正仿宋简体" w:cs="Times New Roman"/>
      <w:kern w:val="2"/>
      <w:sz w:val="32"/>
      <w:szCs w:val="24"/>
      <w:lang w:val="en-US" w:eastAsia="zh-CN" w:bidi="ar-SA"/>
    </w:rPr>
  </w:style>
  <w:style w:type="paragraph" w:customStyle="1" w:styleId="14">
    <w:name w:val="列表段落1"/>
    <w:basedOn w:val="1"/>
    <w:qFormat/>
    <w:uiPriority w:val="99"/>
    <w:pPr>
      <w:ind w:firstLine="420" w:firstLineChars="200"/>
    </w:pPr>
  </w:style>
  <w:style w:type="paragraph" w:customStyle="1" w:styleId="15">
    <w:name w:val="Table Paragraph"/>
    <w:basedOn w:val="1"/>
    <w:qFormat/>
    <w:uiPriority w:val="1"/>
    <w:rPr>
      <w:rFonts w:ascii="仿宋" w:hAnsi="仿宋" w:eastAsia="仿宋" w:cs="仿宋"/>
      <w:lang w:val="zh-CN" w:bidi="zh-CN"/>
    </w:rPr>
  </w:style>
  <w:style w:type="character" w:customStyle="1" w:styleId="16">
    <w:name w:val="批注框文本 Char"/>
    <w:basedOn w:val="9"/>
    <w:link w:val="3"/>
    <w:qFormat/>
    <w:uiPriority w:val="0"/>
    <w:rPr>
      <w:rFonts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11679</Words>
  <Characters>12079</Characters>
  <Lines>404</Lines>
  <Paragraphs>347</Paragraphs>
  <TotalTime>27</TotalTime>
  <ScaleCrop>false</ScaleCrop>
  <LinksUpToDate>false</LinksUpToDate>
  <CharactersWithSpaces>12198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2021-12-09T01:43:00Z</dcterms:created>
  <dc:creator>ZoE.W</dc:creator>
  <cp:lastModifiedBy>席步鑫</cp:lastModifiedBy>
  <dcterms:modified xsi:type="dcterms:W3CDTF">2025-03-20T03:28:57Z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BB1E3DCFFECE4590AEB490834DA75A1F</vt:lpwstr>
  </property>
  <property fmtid="{D5CDD505-2E9C-101B-9397-08002B2CF9AE}" pid="4" name="KSOTemplateDocerSaveRecord">
    <vt:lpwstr>eyJoZGlkIjoiNjA0YWI2NmRiYjJjY2U5OTUxYzcwMDkzODBmMTgwY2MiLCJ1c2VySWQiOiIzNTM5NDA4NDYifQ==</vt:lpwstr>
  </property>
</Properties>
</file>